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>
        <w:pict>
          <v:shape id="_x0000_s2" style="position:absolute;margin-left:0.224998pt;margin-top:8.65479pt;mso-position-vertical-relative:text;mso-position-horizontal-relative:text;width:3.15pt;height:174.85pt;z-index:251658240;" fillcolor="#4F82BD" filled="true" stroked="false" coordsize="63,3497" coordorigin="0,0" path="m,l0,3496l62,3496l62,0l0,0e"/>
        </w:pict>
      </w: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120"/>
        <w:spacing w:before="262" w:line="164" w:lineRule="auto"/>
        <w:rPr>
          <w:rFonts w:ascii="Microsoft YaHei" w:hAnsi="Microsoft YaHei" w:eastAsia="Microsoft YaHei" w:cs="Microsoft YaHei"/>
          <w:sz w:val="61"/>
          <w:szCs w:val="61"/>
        </w:rPr>
      </w:pPr>
      <w:r>
        <w:rPr>
          <w:rFonts w:ascii="Microsoft YaHei" w:hAnsi="Microsoft YaHei" w:eastAsia="Microsoft YaHei" w:cs="Microsoft YaHei"/>
          <w:sz w:val="61"/>
          <w:szCs w:val="61"/>
          <w:color w:val="090909"/>
        </w:rPr>
        <w:t>uc</w:t>
      </w:r>
      <w:r>
        <w:rPr>
          <w:rFonts w:ascii="Microsoft YaHei" w:hAnsi="Microsoft YaHei" w:eastAsia="Microsoft YaHei" w:cs="Microsoft YaHei"/>
          <w:sz w:val="61"/>
          <w:szCs w:val="61"/>
          <w:color w:val="090909"/>
          <w:spacing w:val="32"/>
        </w:rPr>
        <w:t>浙江制造"</w:t>
      </w:r>
      <w:r>
        <w:rPr>
          <w:rFonts w:ascii="Microsoft YaHei" w:hAnsi="Microsoft YaHei" w:eastAsia="Microsoft YaHei" w:cs="Microsoft YaHei"/>
          <w:sz w:val="61"/>
          <w:szCs w:val="61"/>
          <w:color w:val="090909"/>
          <w:spacing w:val="69"/>
        </w:rPr>
        <w:t xml:space="preserve"> </w:t>
      </w:r>
      <w:r>
        <w:rPr>
          <w:rFonts w:ascii="Microsoft YaHei" w:hAnsi="Microsoft YaHei" w:eastAsia="Microsoft YaHei" w:cs="Microsoft YaHei"/>
          <w:sz w:val="61"/>
          <w:szCs w:val="61"/>
          <w:color w:val="0D0D0D"/>
          <w:spacing w:val="32"/>
        </w:rPr>
        <w:t>认证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010"/>
        <w:spacing w:before="305" w:line="731" w:lineRule="exact"/>
        <w:rPr>
          <w:rFonts w:ascii="Microsoft YaHei" w:hAnsi="Microsoft YaHei" w:eastAsia="Microsoft YaHei" w:cs="Microsoft YaHei"/>
          <w:sz w:val="71"/>
          <w:szCs w:val="71"/>
        </w:rPr>
      </w:pPr>
      <w:r>
        <w:rPr>
          <w:rFonts w:ascii="Microsoft YaHei" w:hAnsi="Microsoft YaHei" w:eastAsia="Microsoft YaHei" w:cs="Microsoft YaHei"/>
          <w:sz w:val="71"/>
          <w:szCs w:val="71"/>
          <w:color w:val="0F0F0F"/>
          <w:spacing w:val="-34"/>
          <w:w w:val="94"/>
          <w:position w:val="-3"/>
        </w:rPr>
        <w:t>2025年度社会责任报告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559"/>
        <w:spacing w:before="137" w:line="223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17"/>
        </w:rPr>
        <w:t>台州百瑞电子科技有限公司</w:t>
      </w:r>
    </w:p>
    <w:p>
      <w:pPr>
        <w:ind w:left="2776"/>
        <w:spacing w:before="144" w:line="224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spacing w:val="-20"/>
        </w:rPr>
        <w:t>2026年1月15日</w:t>
      </w:r>
    </w:p>
    <w:p>
      <w:pPr>
        <w:spacing w:line="224" w:lineRule="auto"/>
        <w:sectPr>
          <w:pgSz w:w="11906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42"/>
          <w:szCs w:val="42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3448"/>
        <w:spacing w:before="189" w:line="447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9"/>
          <w:w w:val="90"/>
          <w:position w:val="-2"/>
        </w:rPr>
        <w:t>社会责任报告</w:t>
      </w:r>
    </w:p>
    <w:p>
      <w:pPr>
        <w:ind w:left="179" w:right="170" w:firstLine="487"/>
        <w:spacing w:before="164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公司集研发、生产和销售于一体，我们产品包括逆变焊机变压器系列、高低</w:t>
      </w:r>
      <w:r>
        <w:rPr>
          <w:rFonts w:ascii="SimSun" w:hAnsi="SimSun" w:eastAsia="SimSun" w:cs="SimSun"/>
          <w:sz w:val="24"/>
          <w:szCs w:val="24"/>
          <w:spacing w:val="6"/>
        </w:rPr>
        <w:t>频变压器系列、电源变压器系列、非晶变压器系列、电感系列以及空心线</w:t>
      </w:r>
      <w:r>
        <w:rPr>
          <w:rFonts w:ascii="SimSun" w:hAnsi="SimSun" w:eastAsia="SimSun" w:cs="SimSun"/>
          <w:sz w:val="24"/>
          <w:szCs w:val="24"/>
          <w:spacing w:val="5"/>
        </w:rPr>
        <w:t>圈系列</w:t>
      </w:r>
      <w:r>
        <w:rPr>
          <w:rFonts w:ascii="SimSun" w:hAnsi="SimSun" w:eastAsia="SimSun" w:cs="SimSun"/>
          <w:sz w:val="24"/>
          <w:szCs w:val="24"/>
          <w:spacing w:val="6"/>
        </w:rPr>
        <w:t>等。我们产品具有体积小、功率密度高、质量可靠、价格合理等特点。产</w:t>
      </w:r>
      <w:r>
        <w:rPr>
          <w:rFonts w:ascii="SimSun" w:hAnsi="SimSun" w:eastAsia="SimSun" w:cs="SimSun"/>
          <w:sz w:val="24"/>
          <w:szCs w:val="24"/>
          <w:spacing w:val="5"/>
        </w:rPr>
        <w:t>品广泛</w:t>
      </w:r>
      <w:r>
        <w:rPr>
          <w:rFonts w:ascii="SimSun" w:hAnsi="SimSun" w:eastAsia="SimSun" w:cs="SimSun"/>
          <w:sz w:val="24"/>
          <w:szCs w:val="24"/>
          <w:spacing w:val="5"/>
        </w:rPr>
        <w:t>应用于新能源汽车、光伏逆变器、储能、家庭和工业焊机</w:t>
      </w:r>
      <w:r>
        <w:rPr>
          <w:rFonts w:ascii="SimSun" w:hAnsi="SimSun" w:eastAsia="SimSun" w:cs="SimSun"/>
          <w:sz w:val="24"/>
          <w:szCs w:val="24"/>
          <w:spacing w:val="4"/>
        </w:rPr>
        <w:t>、</w:t>
      </w:r>
      <w:r>
        <w:rPr>
          <w:rFonts w:ascii="Times New Roman" w:hAnsi="Times New Roman" w:eastAsia="Times New Roman" w:cs="Times New Roman"/>
          <w:sz w:val="24"/>
          <w:szCs w:val="24"/>
        </w:rPr>
        <w:t>UPS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EPS</w:t>
      </w:r>
      <w:r>
        <w:rPr>
          <w:rFonts w:ascii="Times New Roman" w:hAnsi="Times New Roman" w:eastAsia="Times New Roman" w:cs="Times New Roman"/>
          <w:sz w:val="24"/>
          <w:szCs w:val="24"/>
          <w:spacing w:val="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4"/>
        </w:rPr>
        <w:t>电源、变频</w:t>
      </w:r>
      <w:r>
        <w:rPr>
          <w:rFonts w:ascii="SimSun" w:hAnsi="SimSun" w:eastAsia="SimSun" w:cs="SimSun"/>
          <w:sz w:val="24"/>
          <w:szCs w:val="24"/>
          <w:spacing w:val="6"/>
        </w:rPr>
        <w:t>器、铁路电源、缝纫机电源及消费型电源；产品销往国内外，和众多的知</w:t>
      </w:r>
      <w:r>
        <w:rPr>
          <w:rFonts w:ascii="SimSun" w:hAnsi="SimSun" w:eastAsia="SimSun" w:cs="SimSun"/>
          <w:sz w:val="24"/>
          <w:szCs w:val="24"/>
          <w:spacing w:val="5"/>
        </w:rPr>
        <w:t>名企业</w:t>
      </w:r>
      <w:r>
        <w:rPr>
          <w:rFonts w:ascii="SimSun" w:hAnsi="SimSun" w:eastAsia="SimSun" w:cs="SimSun"/>
          <w:sz w:val="24"/>
          <w:szCs w:val="24"/>
          <w:spacing w:val="-1"/>
        </w:rPr>
        <w:t>建立了长期合作关系，市场占有率高，在同行业里具有领航地位。</w:t>
      </w:r>
    </w:p>
    <w:p>
      <w:pPr>
        <w:ind w:left="176" w:right="170" w:firstLine="490"/>
        <w:spacing w:before="94" w:line="30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公司拥有资深的管理团队、精湛的技术团队、服务贴心的销售团队。公司已</w:t>
      </w:r>
      <w:r>
        <w:rPr>
          <w:rFonts w:ascii="SimSun" w:hAnsi="SimSun" w:eastAsia="SimSun" w:cs="SimSun"/>
          <w:sz w:val="24"/>
          <w:szCs w:val="24"/>
          <w:spacing w:val="1"/>
        </w:rPr>
        <w:t>经取得</w:t>
      </w:r>
      <w:r>
        <w:rPr>
          <w:rFonts w:ascii="SimSun" w:hAnsi="SimSun" w:eastAsia="SimSun" w:cs="SimSun"/>
          <w:sz w:val="24"/>
          <w:szCs w:val="24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安规认证、</w:t>
      </w:r>
      <w:r>
        <w:rPr>
          <w:rFonts w:ascii="Times New Roman" w:hAnsi="Times New Roman" w:eastAsia="Times New Roman" w:cs="Times New Roman"/>
          <w:sz w:val="24"/>
          <w:szCs w:val="24"/>
        </w:rPr>
        <w:t>ROHS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环保认证。建立了先进完善的品质保证体系，并获取</w:t>
      </w:r>
      <w:r>
        <w:rPr>
          <w:rFonts w:ascii="Times New Roman" w:hAnsi="Times New Roman" w:eastAsia="Times New Roman" w:cs="Times New Roman"/>
          <w:sz w:val="24"/>
          <w:szCs w:val="24"/>
        </w:rPr>
        <w:t>IATF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16949:2016 </w:t>
      </w:r>
      <w:r>
        <w:rPr>
          <w:rFonts w:ascii="SimSun" w:hAnsi="SimSun" w:eastAsia="SimSun" w:cs="SimSun"/>
          <w:sz w:val="24"/>
          <w:szCs w:val="24"/>
          <w:spacing w:val="1"/>
        </w:rPr>
        <w:t>汽车质量管理体系国际质</w:t>
      </w:r>
      <w:r>
        <w:rPr>
          <w:rFonts w:ascii="SimSun" w:hAnsi="SimSun" w:eastAsia="SimSun" w:cs="SimSun"/>
          <w:sz w:val="24"/>
          <w:szCs w:val="24"/>
        </w:rPr>
        <w:t>量体系认证，我们以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38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百瑞出品，必属精</w:t>
      </w:r>
      <w:r>
        <w:rPr>
          <w:rFonts w:ascii="SimSun" w:hAnsi="SimSun" w:eastAsia="SimSun" w:cs="SimSun"/>
          <w:sz w:val="24"/>
          <w:szCs w:val="24"/>
          <w:spacing w:val="-1"/>
        </w:rPr>
        <w:t>品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3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的质量方针，与广大客户携手共创辉煌。成为您长期的战略合</w:t>
      </w:r>
      <w:r>
        <w:rPr>
          <w:rFonts w:ascii="SimSun" w:hAnsi="SimSun" w:eastAsia="SimSun" w:cs="SimSun"/>
          <w:sz w:val="24"/>
          <w:szCs w:val="24"/>
          <w:spacing w:val="-2"/>
        </w:rPr>
        <w:t>作伙伴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!</w:t>
      </w:r>
    </w:p>
    <w:p>
      <w:pPr>
        <w:ind w:left="187"/>
        <w:spacing w:before="328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一、注重文化建设的社会责任</w:t>
      </w:r>
    </w:p>
    <w:p>
      <w:pPr>
        <w:ind w:left="667"/>
        <w:spacing w:before="225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公司管理层十分重视企业文化建设，提出了公司的价值观和愿景；</w:t>
      </w:r>
    </w:p>
    <w:p>
      <w:pPr>
        <w:ind w:left="660"/>
        <w:spacing w:before="20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使命：为客户提供极致的产品和解决方案</w:t>
      </w:r>
    </w:p>
    <w:p>
      <w:pPr>
        <w:ind w:left="661"/>
        <w:spacing w:before="20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愿景：成为电源系统解决方案及相关磁性器件的引领者</w:t>
      </w:r>
    </w:p>
    <w:p>
      <w:pPr>
        <w:ind w:left="660"/>
        <w:spacing w:before="202" w:line="218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价值观：创新、拼搏、务实、奉献</w:t>
      </w:r>
    </w:p>
    <w:p>
      <w:pPr>
        <w:ind w:left="659" w:right="789"/>
        <w:spacing w:before="205" w:line="37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创新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SimSun" w:hAnsi="SimSun" w:eastAsia="SimSun" w:cs="SimSun"/>
          <w:sz w:val="24"/>
          <w:szCs w:val="24"/>
        </w:rPr>
        <w:t>是百瑞人的精髓，打破常规，突破现状</w:t>
      </w:r>
      <w:r>
        <w:rPr>
          <w:rFonts w:ascii="SimSun" w:hAnsi="SimSun" w:eastAsia="SimSun" w:cs="SimSun"/>
          <w:sz w:val="24"/>
          <w:szCs w:val="24"/>
          <w:spacing w:val="-1"/>
        </w:rPr>
        <w:t>，敢为人先，敢于挑战未来</w:t>
      </w:r>
      <w:r>
        <w:rPr>
          <w:rFonts w:ascii="SimSun" w:hAnsi="SimSun" w:eastAsia="SimSun" w:cs="SimSun"/>
          <w:sz w:val="24"/>
          <w:szCs w:val="24"/>
        </w:rPr>
        <w:t>拼搏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SimSun" w:hAnsi="SimSun" w:eastAsia="SimSun" w:cs="SimSun"/>
          <w:sz w:val="24"/>
          <w:szCs w:val="24"/>
        </w:rPr>
        <w:t>是百瑞人的风格，迎接行业挑战，迎</w:t>
      </w:r>
      <w:r>
        <w:rPr>
          <w:rFonts w:ascii="SimSun" w:hAnsi="SimSun" w:eastAsia="SimSun" w:cs="SimSun"/>
          <w:sz w:val="24"/>
          <w:szCs w:val="24"/>
          <w:spacing w:val="-1"/>
        </w:rPr>
        <w:t>接客户挑战，迎接未来挑战</w:t>
      </w:r>
    </w:p>
    <w:p>
      <w:pPr>
        <w:ind w:left="658" w:right="309" w:firstLine="2"/>
        <w:spacing w:before="2" w:line="375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务实</w:t>
      </w: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SimSun" w:hAnsi="SimSun" w:eastAsia="SimSun" w:cs="SimSun"/>
          <w:sz w:val="24"/>
          <w:szCs w:val="24"/>
        </w:rPr>
        <w:t>是百瑞人的品质，求思想之实，求作风</w:t>
      </w:r>
      <w:r>
        <w:rPr>
          <w:rFonts w:ascii="SimSun" w:hAnsi="SimSun" w:eastAsia="SimSun" w:cs="SimSun"/>
          <w:sz w:val="24"/>
          <w:szCs w:val="24"/>
          <w:spacing w:val="-1"/>
        </w:rPr>
        <w:t>之实，求管理之实，求发展之实</w:t>
      </w:r>
      <w:r>
        <w:rPr>
          <w:rFonts w:ascii="SimSun" w:hAnsi="SimSun" w:eastAsia="SimSun" w:cs="SimSun"/>
          <w:sz w:val="24"/>
          <w:szCs w:val="24"/>
          <w:spacing w:val="-1"/>
        </w:rPr>
        <w:t>奉献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-</w:t>
      </w:r>
      <w:r>
        <w:rPr>
          <w:rFonts w:ascii="SimSun" w:hAnsi="SimSun" w:eastAsia="SimSun" w:cs="SimSun"/>
          <w:sz w:val="24"/>
          <w:szCs w:val="24"/>
          <w:spacing w:val="-1"/>
        </w:rPr>
        <w:t>是百瑞人的追求，奉献社会，奉献客户，奉献员工</w:t>
      </w:r>
    </w:p>
    <w:p>
      <w:pPr>
        <w:ind w:left="178" w:right="170" w:firstLine="488"/>
        <w:spacing w:before="6" w:line="29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公司营造良好的沟通氛围，通过设置总经理信箱、开展合理化建议活动等，</w:t>
      </w:r>
      <w:r>
        <w:rPr>
          <w:rFonts w:ascii="SimSun" w:hAnsi="SimSun" w:eastAsia="SimSun" w:cs="SimSun"/>
          <w:sz w:val="24"/>
          <w:szCs w:val="24"/>
          <w:spacing w:val="13"/>
        </w:rPr>
        <w:t>广泛听取各层面员工的意见或建议，保持组织内部沟通顺畅；通过走访、洽谈</w:t>
      </w:r>
      <w:r>
        <w:rPr>
          <w:rFonts w:ascii="SimSun" w:hAnsi="SimSun" w:eastAsia="SimSun" w:cs="SimSun"/>
          <w:sz w:val="24"/>
          <w:szCs w:val="24"/>
          <w:spacing w:val="-1"/>
        </w:rPr>
        <w:t>会、研讨会，听取顾客、供方等相关方的意见及建议。公司领导倡导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</w:t>
      </w:r>
      <w:r>
        <w:rPr>
          <w:rFonts w:ascii="SimSun" w:hAnsi="SimSun" w:eastAsia="SimSun" w:cs="SimSun"/>
          <w:sz w:val="24"/>
          <w:szCs w:val="24"/>
          <w:spacing w:val="-1"/>
        </w:rPr>
        <w:t>沟通无限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，</w:t>
      </w:r>
      <w:r>
        <w:rPr>
          <w:rFonts w:ascii="SimSun" w:hAnsi="SimSun" w:eastAsia="SimSun" w:cs="SimSun"/>
          <w:sz w:val="24"/>
          <w:szCs w:val="24"/>
          <w:spacing w:val="6"/>
        </w:rPr>
        <w:t>建立了互动双向沟通机制，多渠道听取员工及其他相关方要求，多种方式实</w:t>
      </w:r>
      <w:r>
        <w:rPr>
          <w:rFonts w:ascii="SimSun" w:hAnsi="SimSun" w:eastAsia="SimSun" w:cs="SimSun"/>
          <w:sz w:val="24"/>
          <w:szCs w:val="24"/>
          <w:spacing w:val="5"/>
        </w:rPr>
        <w:t>现不</w:t>
      </w:r>
      <w:r>
        <w:rPr>
          <w:rFonts w:ascii="SimSun" w:hAnsi="SimSun" w:eastAsia="SimSun" w:cs="SimSun"/>
          <w:sz w:val="24"/>
          <w:szCs w:val="24"/>
          <w:spacing w:val="-1"/>
        </w:rPr>
        <w:t>同部门、不同职位、不同地区间的有效沟通，如下表。</w:t>
      </w:r>
    </w:p>
    <w:p>
      <w:pPr>
        <w:spacing w:line="299" w:lineRule="auto"/>
        <w:sectPr>
          <w:headerReference w:type="default" r:id="rId1"/>
          <w:footerReference w:type="default" r:id="rId2"/>
          <w:pgSz w:w="11906" w:h="16840"/>
          <w:pgMar w:top="997" w:right="1473" w:bottom="908" w:left="1473" w:header="595" w:footer="75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ind w:left="179"/>
        <w:spacing w:before="97" w:line="22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企业文化的传播方式</w:t>
      </w:r>
    </w:p>
    <w:p>
      <w:pPr>
        <w:spacing w:line="203" w:lineRule="exact"/>
        <w:rPr/>
      </w:pPr>
      <w:r/>
    </w:p>
    <w:tbl>
      <w:tblPr>
        <w:tblStyle w:val="TableNormal"/>
        <w:tblW w:w="9441" w:type="dxa"/>
        <w:tblInd w:w="17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50"/>
        <w:gridCol w:w="6802"/>
        <w:gridCol w:w="27"/>
        <w:gridCol w:w="1362"/>
      </w:tblGrid>
      <w:tr>
        <w:trPr>
          <w:trHeight w:val="635" w:hRule="atLeast"/>
        </w:trPr>
        <w:tc>
          <w:tcPr>
            <w:tcW w:w="1250" w:type="dxa"/>
            <w:vAlign w:val="top"/>
          </w:tcPr>
          <w:p>
            <w:pPr>
              <w:spacing w:line="625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790574" cy="396875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90574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9" w:type="dxa"/>
            <w:vAlign w:val="top"/>
            <w:gridSpan w:val="2"/>
          </w:tcPr>
          <w:p>
            <w:pPr>
              <w:spacing w:line="625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4333240" cy="396875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333240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2" w:type="dxa"/>
            <w:vAlign w:val="top"/>
          </w:tcPr>
          <w:p>
            <w:pPr>
              <w:spacing w:line="625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861694" cy="396875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1694" cy="39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1" w:line="230" w:lineRule="auto"/>
              <w:rPr/>
            </w:pPr>
            <w:r>
              <w:rPr>
                <w:spacing w:val="2"/>
              </w:rPr>
              <w:t>员工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1"/>
              <w:spacing w:before="111" w:line="228" w:lineRule="auto"/>
              <w:rPr/>
            </w:pPr>
            <w:r>
              <w:rPr>
                <w:spacing w:val="18"/>
              </w:rPr>
              <w:t>拓展训练、入职培训、在职培训、专业培训、选拔培训等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40"/>
              <w:spacing w:before="110" w:line="230" w:lineRule="auto"/>
              <w:rPr/>
            </w:pPr>
            <w:r>
              <w:rPr>
                <w:spacing w:val="10"/>
              </w:rPr>
              <w:t>员工参与</w:t>
            </w:r>
          </w:p>
        </w:tc>
      </w:tr>
      <w:tr>
        <w:trPr>
          <w:trHeight w:val="783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1" w:right="117" w:firstLine="4"/>
              <w:spacing w:before="89" w:line="332" w:lineRule="auto"/>
              <w:rPr/>
            </w:pPr>
            <w:r>
              <w:rPr>
                <w:spacing w:val="19"/>
              </w:rPr>
              <w:t>《员工手册》</w:t>
            </w:r>
            <w:r>
              <w:rPr>
                <w:spacing w:val="-23"/>
              </w:rPr>
              <w:t xml:space="preserve"> </w:t>
            </w:r>
            <w:r>
              <w:rPr>
                <w:spacing w:val="19"/>
              </w:rPr>
              <w:t>、公司官网、微信公众号、公司文件、企业文化墙、车间</w:t>
            </w:r>
            <w:r>
              <w:rPr>
                <w:spacing w:val="17"/>
              </w:rPr>
              <w:t>宣传栏、标语旗帜、企业宣传片等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2"/>
              <w:spacing w:before="100" w:line="227" w:lineRule="auto"/>
              <w:rPr/>
            </w:pPr>
            <w:r>
              <w:rPr>
                <w:spacing w:val="13"/>
              </w:rPr>
              <w:t>潜移默化</w:t>
            </w:r>
          </w:p>
          <w:p>
            <w:pPr>
              <w:pStyle w:val="TableText"/>
              <w:ind w:left="123"/>
              <w:spacing w:before="164" w:line="227" w:lineRule="auto"/>
              <w:rPr/>
            </w:pPr>
            <w:r>
              <w:rPr>
                <w:spacing w:val="13"/>
              </w:rPr>
              <w:t>广泛传播</w:t>
            </w:r>
          </w:p>
        </w:tc>
      </w:tr>
      <w:tr>
        <w:trPr>
          <w:trHeight w:val="629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7"/>
              <w:spacing w:before="72" w:line="228" w:lineRule="auto"/>
              <w:rPr/>
            </w:pPr>
            <w:r>
              <w:rPr>
                <w:spacing w:val="16"/>
              </w:rPr>
              <w:t>公司网站、微信公众号、钉钉、企业微信、</w:t>
            </w:r>
            <w:r>
              <w:rPr>
                <w:spacing w:val="-48"/>
              </w:rPr>
              <w:t xml:space="preserve"> </w:t>
            </w:r>
            <w:r>
              <w:rPr>
                <w:spacing w:val="16"/>
              </w:rPr>
              <w:t>电子邮件系</w:t>
            </w:r>
            <w:r>
              <w:rPr>
                <w:spacing w:val="15"/>
              </w:rPr>
              <w:t>统、总经理信箱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3"/>
              <w:spacing w:before="228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0" w:right="120" w:hanging="7"/>
              <w:spacing w:before="100" w:line="327" w:lineRule="auto"/>
              <w:rPr/>
            </w:pPr>
            <w:r>
              <w:rPr>
                <w:spacing w:val="20"/>
              </w:rPr>
              <w:t>读书交流会、迎春文艺汇演、</w:t>
            </w:r>
            <w:r>
              <w:rPr>
                <w:spacing w:val="-43"/>
              </w:rPr>
              <w:t xml:space="preserve"> </w:t>
            </w:r>
            <w:r>
              <w:rPr>
                <w:spacing w:val="20"/>
              </w:rPr>
              <w:t>团拜晚宴、劳动综合技能竞赛、安全知识</w:t>
            </w:r>
            <w:r>
              <w:rPr>
                <w:spacing w:val="16"/>
              </w:rPr>
              <w:t>竞赛</w:t>
            </w:r>
            <w:r>
              <w:rPr>
                <w:spacing w:val="-56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16"/>
              </w:rPr>
              <w:t>中秋联谊活动、运动会、篮球赛、乒乓球赛等各类文体活动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2" w:line="230" w:lineRule="auto"/>
              <w:rPr/>
            </w:pPr>
            <w:r>
              <w:rPr>
                <w:spacing w:val="10"/>
              </w:rPr>
              <w:t>员工参与</w:t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3"/>
              <w:spacing w:before="111" w:line="227" w:lineRule="auto"/>
              <w:rPr/>
            </w:pPr>
            <w:r>
              <w:rPr>
                <w:spacing w:val="19"/>
              </w:rPr>
              <w:t>优秀员工、合理化建议奖、年终总结大会及先进表彰大会等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3"/>
              <w:spacing w:before="111" w:line="228" w:lineRule="auto"/>
              <w:rPr/>
            </w:pPr>
            <w:r>
              <w:rPr>
                <w:spacing w:val="13"/>
              </w:rPr>
              <w:t>榜样激励</w:t>
            </w:r>
          </w:p>
        </w:tc>
      </w:tr>
      <w:tr>
        <w:trPr>
          <w:trHeight w:val="1173" w:hRule="atLeast"/>
        </w:trPr>
        <w:tc>
          <w:tcPr>
            <w:tcW w:w="12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3" w:right="120" w:firstLine="1"/>
              <w:spacing w:before="125" w:line="336" w:lineRule="auto"/>
              <w:jc w:val="both"/>
              <w:rPr/>
            </w:pPr>
            <w:r>
              <w:rPr>
                <w:spacing w:val="22"/>
              </w:rPr>
              <w:t>职工代表大会、员工座谈会、先进事迹座谈会</w:t>
            </w:r>
            <w:r>
              <w:rPr>
                <w:spacing w:val="21"/>
              </w:rPr>
              <w:t>、生产每日早会、部门月</w:t>
            </w:r>
            <w:r>
              <w:rPr>
                <w:spacing w:val="22"/>
              </w:rPr>
              <w:t>度例会、专题研讨会、绩效评审会、绩效面谈、</w:t>
            </w:r>
            <w:r>
              <w:rPr>
                <w:spacing w:val="21"/>
              </w:rPr>
              <w:t>年度总结表彰大会、员</w:t>
            </w:r>
            <w:r>
              <w:rPr>
                <w:spacing w:val="16"/>
              </w:rPr>
              <w:t>工满意度调查、党支部会议、</w:t>
            </w:r>
            <w:r>
              <w:rPr>
                <w:spacing w:val="-54"/>
              </w:rPr>
              <w:t xml:space="preserve"> </w:t>
            </w:r>
            <w:r>
              <w:rPr>
                <w:spacing w:val="16"/>
              </w:rPr>
              <w:t>团委年会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1" w:line="229" w:lineRule="auto"/>
              <w:rPr/>
            </w:pPr>
            <w:r>
              <w:rPr>
                <w:spacing w:val="12"/>
              </w:rPr>
              <w:t>交流座谈</w:t>
            </w:r>
          </w:p>
        </w:tc>
      </w:tr>
      <w:tr>
        <w:trPr>
          <w:trHeight w:val="783" w:hRule="atLeast"/>
        </w:trPr>
        <w:tc>
          <w:tcPr>
            <w:tcW w:w="1250" w:type="dxa"/>
            <w:vAlign w:val="top"/>
            <w:vMerge w:val="restart"/>
            <w:tcBorders>
              <w:bottom w:val="nil"/>
            </w:tcBorders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7"/>
              <w:spacing w:before="62" w:line="229" w:lineRule="auto"/>
              <w:rPr/>
            </w:pPr>
            <w:r>
              <w:rPr>
                <w:spacing w:val="7"/>
              </w:rPr>
              <w:t>顾客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63" w:right="163" w:hanging="36"/>
              <w:spacing w:before="95" w:line="329" w:lineRule="auto"/>
              <w:rPr/>
            </w:pPr>
            <w:r>
              <w:rPr>
                <w:spacing w:val="20"/>
              </w:rPr>
              <w:t>公司官方网站、企业宣传册、产品手册、广告片、各种展览</w:t>
            </w:r>
            <w:r>
              <w:rPr>
                <w:spacing w:val="19"/>
              </w:rPr>
              <w:t>会、传真、</w:t>
            </w:r>
            <w:r>
              <w:rPr>
                <w:spacing w:val="2"/>
              </w:rPr>
              <w:t>电子邮件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1"/>
              <w:spacing w:before="96" w:line="227" w:lineRule="auto"/>
              <w:rPr/>
            </w:pPr>
            <w:r>
              <w:rPr>
                <w:spacing w:val="14"/>
              </w:rPr>
              <w:t>传播为主</w:t>
            </w:r>
          </w:p>
          <w:p>
            <w:pPr>
              <w:pStyle w:val="TableText"/>
              <w:ind w:left="123"/>
              <w:spacing w:before="176" w:line="229" w:lineRule="auto"/>
              <w:rPr/>
            </w:pPr>
            <w:r>
              <w:rPr>
                <w:spacing w:val="13"/>
              </w:rPr>
              <w:t>注重反馈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3" w:right="117" w:firstLine="13"/>
              <w:spacing w:before="107" w:line="324" w:lineRule="auto"/>
              <w:rPr/>
            </w:pPr>
            <w:r>
              <w:rPr>
                <w:spacing w:val="21"/>
              </w:rPr>
              <w:t>高层互访、客户供应商联合体会议、参加客户的供应商年会、专题交流</w:t>
            </w:r>
            <w:r>
              <w:rPr>
                <w:spacing w:val="17"/>
              </w:rPr>
              <w:t>会议、微信公众号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2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395" w:hRule="atLeast"/>
        </w:trPr>
        <w:tc>
          <w:tcPr>
            <w:tcW w:w="1250" w:type="dxa"/>
            <w:vAlign w:val="top"/>
          </w:tcPr>
          <w:p>
            <w:pPr>
              <w:pStyle w:val="TableText"/>
              <w:ind w:left="427"/>
              <w:spacing w:before="117" w:line="228" w:lineRule="auto"/>
              <w:rPr/>
            </w:pPr>
            <w:r>
              <w:rPr>
                <w:spacing w:val="7"/>
              </w:rPr>
              <w:t>股东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3"/>
              <w:spacing w:before="117" w:line="227" w:lineRule="auto"/>
              <w:rPr/>
            </w:pPr>
            <w:r>
              <w:rPr>
                <w:spacing w:val="18"/>
              </w:rPr>
              <w:t>股东大会、个别沟通、新闻媒体、</w:t>
            </w:r>
            <w:r>
              <w:rPr>
                <w:spacing w:val="-56"/>
              </w:rPr>
              <w:t xml:space="preserve"> </w:t>
            </w:r>
            <w:r>
              <w:rPr>
                <w:spacing w:val="18"/>
              </w:rPr>
              <w:t>网站、报</w:t>
            </w:r>
            <w:r>
              <w:rPr>
                <w:spacing w:val="17"/>
              </w:rPr>
              <w:t>刊、投资者关系专线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3"/>
              <w:spacing w:before="119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84" w:hRule="atLeast"/>
        </w:trPr>
        <w:tc>
          <w:tcPr>
            <w:tcW w:w="125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2" w:line="227" w:lineRule="auto"/>
              <w:rPr/>
            </w:pPr>
            <w:r>
              <w:rPr>
                <w:spacing w:val="12"/>
              </w:rPr>
              <w:t>供应商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12" w:right="117" w:firstLine="1"/>
              <w:spacing w:before="98" w:line="328" w:lineRule="auto"/>
              <w:rPr/>
            </w:pPr>
            <w:r>
              <w:rPr>
                <w:spacing w:val="22"/>
              </w:rPr>
              <w:t>供应商大会、供应商座谈会、优秀供应商评选、供应</w:t>
            </w:r>
            <w:r>
              <w:rPr>
                <w:spacing w:val="21"/>
              </w:rPr>
              <w:t>商满意度调查、采</w:t>
            </w:r>
            <w:r>
              <w:rPr>
                <w:spacing w:val="11"/>
              </w:rPr>
              <w:t>购展会、实地考察、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电话沟通、</w:t>
            </w:r>
            <w:r>
              <w:rPr>
                <w:spacing w:val="-53"/>
              </w:rPr>
              <w:t xml:space="preserve"> </w:t>
            </w:r>
            <w:r>
              <w:rPr>
                <w:spacing w:val="11"/>
              </w:rPr>
              <w:t>电子邮件、</w:t>
            </w:r>
            <w:r>
              <w:rPr>
                <w:spacing w:val="10"/>
              </w:rPr>
              <w:t>合同协议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1" w:line="229" w:lineRule="auto"/>
              <w:rPr/>
            </w:pPr>
            <w:r>
              <w:rPr>
                <w:spacing w:val="13"/>
              </w:rPr>
              <w:t>双向沟通</w:t>
            </w:r>
          </w:p>
        </w:tc>
      </w:tr>
      <w:tr>
        <w:trPr>
          <w:trHeight w:val="791" w:hRule="atLeast"/>
        </w:trPr>
        <w:tc>
          <w:tcPr>
            <w:tcW w:w="1250" w:type="dxa"/>
            <w:vAlign w:val="top"/>
          </w:tcPr>
          <w:p>
            <w:pPr>
              <w:pStyle w:val="TableText"/>
              <w:ind w:left="424"/>
              <w:spacing w:before="109" w:line="227" w:lineRule="auto"/>
              <w:rPr/>
            </w:pPr>
            <w:r>
              <w:rPr>
                <w:spacing w:val="8"/>
              </w:rPr>
              <w:t>政府</w:t>
            </w:r>
          </w:p>
          <w:p>
            <w:pPr>
              <w:pStyle w:val="TableText"/>
              <w:ind w:left="438"/>
              <w:spacing w:before="164" w:line="228" w:lineRule="auto"/>
              <w:rPr/>
            </w:pPr>
            <w:r>
              <w:rPr>
                <w:spacing w:val="3"/>
              </w:rPr>
              <w:t>公众</w:t>
            </w:r>
          </w:p>
        </w:tc>
        <w:tc>
          <w:tcPr>
            <w:tcW w:w="6802" w:type="dxa"/>
            <w:vAlign w:val="top"/>
          </w:tcPr>
          <w:p>
            <w:pPr>
              <w:pStyle w:val="TableText"/>
              <w:ind w:left="121" w:right="117"/>
              <w:spacing w:before="107" w:line="327" w:lineRule="auto"/>
              <w:rPr/>
            </w:pPr>
            <w:r>
              <w:rPr>
                <w:spacing w:val="21"/>
              </w:rPr>
              <w:t>工作汇报、参观指导、公益活动、慈善捐赠、结对扶贫、企业网站、重</w:t>
            </w:r>
            <w:r>
              <w:rPr>
                <w:spacing w:val="17"/>
              </w:rPr>
              <w:t>大事项公告、宣传册、宣传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ind w:left="121"/>
              <w:spacing w:before="99" w:line="227" w:lineRule="auto"/>
              <w:rPr/>
            </w:pPr>
            <w:r>
              <w:rPr>
                <w:spacing w:val="14"/>
              </w:rPr>
              <w:t>传播为主</w:t>
            </w:r>
          </w:p>
          <w:p>
            <w:pPr>
              <w:pStyle w:val="TableText"/>
              <w:ind w:left="123"/>
              <w:spacing w:before="176" w:line="229" w:lineRule="auto"/>
              <w:rPr/>
            </w:pPr>
            <w:r>
              <w:rPr>
                <w:spacing w:val="13"/>
              </w:rPr>
              <w:t>注重反馈</w:t>
            </w:r>
          </w:p>
        </w:tc>
      </w:tr>
    </w:tbl>
    <w:p>
      <w:pPr>
        <w:pStyle w:val="BodyText"/>
        <w:spacing w:line="266" w:lineRule="auto"/>
        <w:rPr/>
      </w:pPr>
      <w:r/>
    </w:p>
    <w:p>
      <w:pPr>
        <w:ind w:left="187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二、追求高质量的产品和服务的社会责任</w:t>
      </w:r>
    </w:p>
    <w:p>
      <w:pPr>
        <w:ind w:left="179" w:right="828" w:firstLine="487"/>
        <w:spacing w:before="226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公司认为，企业最大的社会责任，是为顾客提供高质量的产品和服务，这个</w:t>
      </w:r>
      <w:r>
        <w:rPr>
          <w:rFonts w:ascii="SimSun" w:hAnsi="SimSun" w:eastAsia="SimSun" w:cs="SimSun"/>
          <w:sz w:val="24"/>
          <w:szCs w:val="24"/>
          <w:spacing w:val="13"/>
        </w:rPr>
        <w:t>信念始终贯穿企业经营的始终。企业经营的目的是获取利润，但获取利润的途</w:t>
      </w:r>
      <w:r>
        <w:rPr>
          <w:rFonts w:ascii="SimSun" w:hAnsi="SimSun" w:eastAsia="SimSun" w:cs="SimSun"/>
          <w:sz w:val="24"/>
          <w:szCs w:val="24"/>
          <w:spacing w:val="6"/>
        </w:rPr>
        <w:t>径，是为社会创造价值。因此我们不断追求进步和创新。通过创新的科技</w:t>
      </w:r>
      <w:r>
        <w:rPr>
          <w:rFonts w:ascii="SimSun" w:hAnsi="SimSun" w:eastAsia="SimSun" w:cs="SimSun"/>
          <w:sz w:val="24"/>
          <w:szCs w:val="24"/>
          <w:spacing w:val="5"/>
        </w:rPr>
        <w:t>和完善</w:t>
      </w:r>
      <w:r>
        <w:rPr>
          <w:rFonts w:ascii="SimSun" w:hAnsi="SimSun" w:eastAsia="SimSun" w:cs="SimSun"/>
          <w:sz w:val="24"/>
          <w:szCs w:val="24"/>
          <w:spacing w:val="-1"/>
        </w:rPr>
        <w:t>的服务，为顾客创造价值，是我们首要的社会责任。</w:t>
      </w:r>
    </w:p>
    <w:p>
      <w:pPr>
        <w:ind w:left="178" w:right="828" w:firstLine="488"/>
        <w:spacing w:before="99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公司先后通过了</w:t>
      </w:r>
      <w:r>
        <w:rPr>
          <w:rFonts w:ascii="Times New Roman" w:hAnsi="Times New Roman" w:eastAsia="Times New Roman" w:cs="Times New Roman"/>
          <w:sz w:val="24"/>
          <w:szCs w:val="24"/>
        </w:rPr>
        <w:t>IATF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16949:2016 </w:t>
      </w:r>
      <w:r>
        <w:rPr>
          <w:rFonts w:ascii="SimSun" w:hAnsi="SimSun" w:eastAsia="SimSun" w:cs="SimSun"/>
          <w:sz w:val="24"/>
          <w:szCs w:val="24"/>
          <w:spacing w:val="2"/>
        </w:rPr>
        <w:t>汽车质量管理体系认证。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2021 </w:t>
      </w:r>
      <w:r>
        <w:rPr>
          <w:rFonts w:ascii="SimSun" w:hAnsi="SimSun" w:eastAsia="SimSun" w:cs="SimSun"/>
          <w:sz w:val="24"/>
          <w:szCs w:val="24"/>
          <w:spacing w:val="2"/>
        </w:rPr>
        <w:t>年百瑞导</w:t>
      </w:r>
      <w:r>
        <w:rPr>
          <w:rFonts w:ascii="SimSun" w:hAnsi="SimSun" w:eastAsia="SimSun" w:cs="SimSun"/>
          <w:sz w:val="24"/>
          <w:szCs w:val="24"/>
          <w:spacing w:val="1"/>
        </w:rPr>
        <w:t>入卓</w:t>
      </w:r>
      <w:r>
        <w:rPr>
          <w:rFonts w:ascii="SimSun" w:hAnsi="SimSun" w:eastAsia="SimSun" w:cs="SimSun"/>
          <w:sz w:val="24"/>
          <w:szCs w:val="24"/>
          <w:spacing w:val="6"/>
        </w:rPr>
        <w:t>越绩效模式，并积极参区政府质量奖。同时这些管理体系和标准确保了我们</w:t>
      </w:r>
      <w:r>
        <w:rPr>
          <w:rFonts w:ascii="SimSun" w:hAnsi="SimSun" w:eastAsia="SimSun" w:cs="SimSun"/>
          <w:sz w:val="24"/>
          <w:szCs w:val="24"/>
          <w:spacing w:val="5"/>
        </w:rPr>
        <w:t>所有</w:t>
      </w:r>
      <w:r>
        <w:rPr>
          <w:rFonts w:ascii="SimSun" w:hAnsi="SimSun" w:eastAsia="SimSun" w:cs="SimSun"/>
          <w:sz w:val="24"/>
          <w:szCs w:val="24"/>
          <w:spacing w:val="-1"/>
        </w:rPr>
        <w:t>管理行动的全面性、持续性和有效性，确保产品质量。</w:t>
      </w:r>
    </w:p>
    <w:p>
      <w:pPr>
        <w:spacing w:line="300" w:lineRule="auto"/>
        <w:sectPr>
          <w:headerReference w:type="default" r:id="rId3"/>
          <w:footerReference w:type="default" r:id="rId4"/>
          <w:pgSz w:w="11906" w:h="16840"/>
          <w:pgMar w:top="997" w:right="815" w:bottom="908" w:left="1473" w:header="595" w:footer="75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300" w:lineRule="auto"/>
        <w:rPr/>
      </w:pPr>
      <w:r/>
    </w:p>
    <w:p>
      <w:pPr>
        <w:pStyle w:val="BodyText"/>
        <w:spacing w:line="301" w:lineRule="auto"/>
        <w:rPr/>
      </w:pPr>
      <w:r/>
    </w:p>
    <w:p>
      <w:pPr>
        <w:ind w:left="179" w:right="466" w:firstLine="482"/>
        <w:spacing w:before="78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为履行确保组织所提供产品和服务的质量安全的职责，引导组织承担质量安</w:t>
      </w:r>
      <w:r>
        <w:rPr>
          <w:rFonts w:ascii="SimSun" w:hAnsi="SimSun" w:eastAsia="SimSun" w:cs="SimSun"/>
          <w:sz w:val="24"/>
          <w:szCs w:val="24"/>
          <w:spacing w:val="6"/>
        </w:rPr>
        <w:t>全主体责任，公司高度重视质量管理体系的建设，在对产品质量进行严格</w:t>
      </w:r>
      <w:r>
        <w:rPr>
          <w:rFonts w:ascii="SimSun" w:hAnsi="SimSun" w:eastAsia="SimSun" w:cs="SimSun"/>
          <w:sz w:val="24"/>
          <w:szCs w:val="24"/>
          <w:spacing w:val="5"/>
        </w:rPr>
        <w:t>把关，</w:t>
      </w:r>
      <w:r>
        <w:rPr>
          <w:rFonts w:ascii="SimSun" w:hAnsi="SimSun" w:eastAsia="SimSun" w:cs="SimSun"/>
          <w:sz w:val="24"/>
          <w:szCs w:val="24"/>
          <w:spacing w:val="-1"/>
        </w:rPr>
        <w:t>并满足各项标准指标的同时，建立了完善的质量管理体系。</w:t>
      </w:r>
    </w:p>
    <w:p>
      <w:pPr>
        <w:ind w:left="177" w:right="466" w:firstLine="527"/>
        <w:spacing w:before="90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2"/>
        </w:rPr>
        <w:t>目前公司已制定了一系列的质量控制措施，涵盖了从产品设计、原材料采</w:t>
      </w:r>
      <w:r>
        <w:rPr>
          <w:rFonts w:ascii="SimSun" w:hAnsi="SimSun" w:eastAsia="SimSun" w:cs="SimSun"/>
          <w:sz w:val="24"/>
          <w:szCs w:val="24"/>
          <w:spacing w:val="6"/>
        </w:rPr>
        <w:t>购、产品制造、产品检验、性能测试、包装储运到客户服务等各个环节，对各部</w:t>
      </w:r>
      <w:r>
        <w:rPr>
          <w:rFonts w:ascii="SimSun" w:hAnsi="SimSun" w:eastAsia="SimSun" w:cs="SimSun"/>
          <w:sz w:val="24"/>
          <w:szCs w:val="24"/>
          <w:spacing w:val="11"/>
        </w:rPr>
        <w:t>门的质量控制工作进行有效的指导和监督；</w:t>
      </w:r>
      <w:r>
        <w:rPr>
          <w:rFonts w:ascii="SimSun" w:hAnsi="SimSun" w:eastAsia="SimSun" w:cs="SimSun"/>
          <w:sz w:val="24"/>
          <w:szCs w:val="24"/>
          <w:spacing w:val="-4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同时，公司以满足客户要求作为标</w:t>
      </w:r>
      <w:r>
        <w:rPr>
          <w:rFonts w:ascii="SimSun" w:hAnsi="SimSun" w:eastAsia="SimSun" w:cs="SimSun"/>
          <w:sz w:val="24"/>
          <w:szCs w:val="24"/>
          <w:spacing w:val="-1"/>
        </w:rPr>
        <w:t>准，由各专门部门负责，认真抓好产品质量的持续改进工作。</w:t>
      </w:r>
    </w:p>
    <w:p>
      <w:pPr>
        <w:ind w:left="189"/>
        <w:spacing w:before="327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三、遵守国家法律法规的社会责任</w:t>
      </w:r>
    </w:p>
    <w:p>
      <w:pPr>
        <w:ind w:left="180" w:right="466" w:firstLine="486"/>
        <w:spacing w:before="222" w:line="30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公司的产品、服务和运营主要涉及质量安全、环境保护、能源节约、资源综</w:t>
      </w:r>
      <w:r>
        <w:rPr>
          <w:rFonts w:ascii="SimSun" w:hAnsi="SimSun" w:eastAsia="SimSun" w:cs="SimSun"/>
          <w:sz w:val="24"/>
          <w:szCs w:val="24"/>
          <w:spacing w:val="11"/>
        </w:rPr>
        <w:t>合利用、安全生产、公共卫生等方面的影响。公司严格按照《环境保护法》</w:t>
      </w:r>
      <w:r>
        <w:rPr>
          <w:rFonts w:ascii="SimSun" w:hAnsi="SimSun" w:eastAsia="SimSun" w:cs="SimSun"/>
          <w:sz w:val="24"/>
          <w:szCs w:val="24"/>
          <w:spacing w:val="-4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1"/>
        </w:rPr>
        <w:t>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6"/>
        </w:rPr>
        <w:t>《大气污染防治法》、《水污染防治法》、《安全生产法》等国家法律</w:t>
      </w:r>
      <w:r>
        <w:rPr>
          <w:rFonts w:ascii="SimSun" w:hAnsi="SimSun" w:eastAsia="SimSun" w:cs="SimSun"/>
          <w:sz w:val="24"/>
          <w:szCs w:val="24"/>
          <w:spacing w:val="5"/>
        </w:rPr>
        <w:t>法规，制</w:t>
      </w:r>
      <w:r>
        <w:rPr>
          <w:rFonts w:ascii="SimSun" w:hAnsi="SimSun" w:eastAsia="SimSun" w:cs="SimSun"/>
          <w:sz w:val="24"/>
          <w:szCs w:val="24"/>
          <w:spacing w:val="6"/>
        </w:rPr>
        <w:t>订了《突发环境事件应急预案》、《环境卫生管理考核办法》、《员工</w:t>
      </w:r>
      <w:r>
        <w:rPr>
          <w:rFonts w:ascii="SimSun" w:hAnsi="SimSun" w:eastAsia="SimSun" w:cs="SimSun"/>
          <w:sz w:val="24"/>
          <w:szCs w:val="24"/>
          <w:spacing w:val="5"/>
        </w:rPr>
        <w:t>手册》、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6"/>
        </w:rPr>
        <w:t>《退货品管理制度》、《设备管理制度》等制度。近三年，公司的废水</w:t>
      </w:r>
      <w:r>
        <w:rPr>
          <w:rFonts w:ascii="SimSun" w:hAnsi="SimSun" w:eastAsia="SimSun" w:cs="SimSun"/>
          <w:sz w:val="24"/>
          <w:szCs w:val="24"/>
          <w:spacing w:val="5"/>
        </w:rPr>
        <w:t>、废气、</w:t>
      </w:r>
      <w:r>
        <w:rPr>
          <w:rFonts w:ascii="SimSun" w:hAnsi="SimSun" w:eastAsia="SimSun" w:cs="SimSun"/>
          <w:sz w:val="24"/>
          <w:szCs w:val="24"/>
          <w:spacing w:val="6"/>
        </w:rPr>
        <w:t>噪声均达到国家和地方规定的排放标准；公司工业固废均进行了处理、</w:t>
      </w:r>
      <w:r>
        <w:rPr>
          <w:rFonts w:ascii="SimSun" w:hAnsi="SimSun" w:eastAsia="SimSun" w:cs="SimSun"/>
          <w:sz w:val="24"/>
          <w:szCs w:val="24"/>
          <w:spacing w:val="5"/>
        </w:rPr>
        <w:t>处置，危</w:t>
      </w:r>
      <w:r>
        <w:rPr>
          <w:rFonts w:ascii="SimSun" w:hAnsi="SimSun" w:eastAsia="SimSun" w:cs="SimSun"/>
          <w:sz w:val="24"/>
          <w:szCs w:val="24"/>
          <w:spacing w:val="1"/>
        </w:rPr>
        <w:t>险废物处置率达</w:t>
      </w:r>
      <w:r>
        <w:rPr>
          <w:rFonts w:ascii="SimSun" w:hAnsi="SimSun" w:eastAsia="SimSun" w:cs="SimSun"/>
          <w:sz w:val="24"/>
          <w:szCs w:val="24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100%</w:t>
      </w:r>
      <w:r>
        <w:rPr>
          <w:rFonts w:ascii="SimSun" w:hAnsi="SimSun" w:eastAsia="SimSun" w:cs="SimSun"/>
          <w:sz w:val="24"/>
          <w:szCs w:val="24"/>
          <w:spacing w:val="1"/>
        </w:rPr>
        <w:t>；公司污染治理设施落实专人操作管理，环保设施稳定运行</w:t>
      </w:r>
      <w:r>
        <w:rPr>
          <w:rFonts w:ascii="SimSun" w:hAnsi="SimSun" w:eastAsia="SimSun" w:cs="SimSun"/>
          <w:sz w:val="24"/>
          <w:szCs w:val="24"/>
          <w:spacing w:val="11"/>
        </w:rPr>
        <w:t>率达</w:t>
      </w:r>
      <w:r>
        <w:rPr>
          <w:rFonts w:ascii="SimSun" w:hAnsi="SimSun" w:eastAsia="SimSun" w:cs="SimSun"/>
          <w:sz w:val="24"/>
          <w:szCs w:val="24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1"/>
        </w:rPr>
        <w:t>95%</w:t>
      </w:r>
      <w:r>
        <w:rPr>
          <w:rFonts w:ascii="SimSun" w:hAnsi="SimSun" w:eastAsia="SimSun" w:cs="SimSun"/>
          <w:sz w:val="24"/>
          <w:szCs w:val="24"/>
          <w:spacing w:val="11"/>
        </w:rPr>
        <w:t>以上；公司依法领取了排污许可证，排放的污染物达到国家规定的标</w:t>
      </w:r>
      <w:r>
        <w:rPr>
          <w:rFonts w:ascii="SimSun" w:hAnsi="SimSun" w:eastAsia="SimSun" w:cs="SimSun"/>
          <w:sz w:val="24"/>
          <w:szCs w:val="24"/>
          <w:spacing w:val="-1"/>
        </w:rPr>
        <w:t>准，排放总量在控制范围内。公司已经过清洁生产审核。</w:t>
      </w:r>
    </w:p>
    <w:p>
      <w:pPr>
        <w:ind w:left="3175"/>
        <w:spacing w:before="23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公司近三年公共责任结果</w:t>
      </w:r>
    </w:p>
    <w:p>
      <w:pPr>
        <w:spacing w:before="111"/>
        <w:rPr/>
      </w:pPr>
      <w:r/>
    </w:p>
    <w:tbl>
      <w:tblPr>
        <w:tblStyle w:val="TableNormal"/>
        <w:tblW w:w="9079" w:type="dxa"/>
        <w:tblInd w:w="17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442"/>
        <w:gridCol w:w="1895"/>
        <w:gridCol w:w="1895"/>
        <w:gridCol w:w="1847"/>
      </w:tblGrid>
      <w:tr>
        <w:trPr>
          <w:trHeight w:val="423" w:hRule="atLeast"/>
        </w:trPr>
        <w:tc>
          <w:tcPr>
            <w:tcW w:w="3442" w:type="dxa"/>
            <w:vAlign w:val="top"/>
          </w:tcPr>
          <w:p>
            <w:pPr>
              <w:ind w:firstLine="2"/>
              <w:spacing w:line="412" w:lineRule="exact"/>
              <w:rPr/>
            </w:pPr>
            <w:r>
              <w:rPr>
                <w:position w:val="-8"/>
              </w:rPr>
              <w:drawing>
                <wp:inline distT="0" distB="0" distL="0" distR="0">
                  <wp:extent cx="2180589" cy="262254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80589" cy="262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895" w:type="dxa"/>
            <w:vAlign w:val="top"/>
          </w:tcPr>
          <w:p>
            <w:pPr>
              <w:pStyle w:val="TableText"/>
              <w:ind w:left="618"/>
              <w:spacing w:before="51"/>
              <w:rPr/>
            </w:pPr>
            <w:r>
              <w:rPr>
                <w:b/>
                <w:bCs/>
                <w:color w:val="FFFFFF"/>
                <w:spacing w:val="3"/>
              </w:rPr>
              <w:t>2023</w:t>
            </w:r>
            <w:r>
              <w:rPr>
                <w:position w:val="-5"/>
              </w:rPr>
              <w:drawing>
                <wp:inline distT="0" distB="0" distL="0" distR="0">
                  <wp:extent cx="147840" cy="162788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840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895" w:type="dxa"/>
            <w:vAlign w:val="top"/>
          </w:tcPr>
          <w:p>
            <w:pPr>
              <w:pStyle w:val="TableText"/>
              <w:ind w:left="619"/>
              <w:spacing w:before="51"/>
              <w:rPr/>
            </w:pPr>
            <w:r>
              <w:rPr>
                <w:b/>
                <w:bCs/>
                <w:color w:val="FFFFFF"/>
                <w:spacing w:val="3"/>
              </w:rPr>
              <w:t>2024</w:t>
            </w:r>
            <w:r>
              <w:rPr>
                <w:position w:val="-5"/>
              </w:rPr>
              <w:drawing>
                <wp:inline distT="0" distB="0" distL="0" distR="0">
                  <wp:extent cx="147840" cy="162788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840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847" w:type="dxa"/>
            <w:vAlign w:val="top"/>
          </w:tcPr>
          <w:p>
            <w:pPr>
              <w:pStyle w:val="TableText"/>
              <w:ind w:left="596"/>
              <w:spacing w:before="51"/>
              <w:rPr/>
            </w:pPr>
            <w:r>
              <w:rPr>
                <w:b/>
                <w:bCs/>
                <w:color w:val="FFFFFF"/>
                <w:spacing w:val="3"/>
              </w:rPr>
              <w:t>2025</w:t>
            </w:r>
            <w:r>
              <w:rPr>
                <w:position w:val="-5"/>
              </w:rPr>
              <w:drawing>
                <wp:inline distT="0" distB="0" distL="0" distR="0">
                  <wp:extent cx="148081" cy="162788"/>
                  <wp:effectExtent l="0" t="0" r="0" b="0"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081" cy="16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62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1"/>
              <w:spacing w:before="144" w:line="228" w:lineRule="auto"/>
              <w:rPr/>
            </w:pPr>
            <w:r>
              <w:rPr>
                <w:spacing w:val="16"/>
              </w:rPr>
              <w:t>废水达标排放率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744"/>
              <w:spacing w:before="120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749"/>
              <w:spacing w:before="120" w:line="256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722"/>
              <w:spacing w:before="120" w:line="256" w:lineRule="exact"/>
              <w:rPr/>
            </w:pPr>
            <w:r>
              <w:rPr>
                <w:spacing w:val="-2"/>
                <w:position w:val="1"/>
              </w:rPr>
              <w:t>100%</w:t>
            </w:r>
          </w:p>
        </w:tc>
      </w:tr>
      <w:tr>
        <w:trPr>
          <w:trHeight w:val="461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9"/>
              <w:spacing w:before="148" w:line="228" w:lineRule="auto"/>
              <w:rPr/>
            </w:pPr>
            <w:r>
              <w:rPr>
                <w:spacing w:val="15"/>
              </w:rPr>
              <w:t>危险固废回收率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744"/>
              <w:spacing w:before="124" w:line="255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749"/>
              <w:spacing w:before="124" w:line="255" w:lineRule="exact"/>
              <w:rPr/>
            </w:pPr>
            <w:r>
              <w:rPr>
                <w:spacing w:val="-1"/>
                <w:position w:val="1"/>
              </w:rPr>
              <w:t>100%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722"/>
              <w:spacing w:before="124" w:line="255" w:lineRule="exact"/>
              <w:rPr/>
            </w:pPr>
            <w:r>
              <w:rPr>
                <w:spacing w:val="-2"/>
                <w:position w:val="1"/>
              </w:rPr>
              <w:t>100%</w:t>
            </w:r>
          </w:p>
        </w:tc>
      </w:tr>
      <w:tr>
        <w:trPr>
          <w:trHeight w:val="471" w:hRule="atLeast"/>
        </w:trPr>
        <w:tc>
          <w:tcPr>
            <w:tcW w:w="3442" w:type="dxa"/>
            <w:vAlign w:val="top"/>
          </w:tcPr>
          <w:p>
            <w:pPr>
              <w:pStyle w:val="TableText"/>
              <w:ind w:left="125"/>
              <w:spacing w:before="150" w:line="228" w:lineRule="auto"/>
              <w:rPr/>
            </w:pPr>
            <w:r>
              <w:rPr>
                <w:spacing w:val="12"/>
              </w:rPr>
              <w:t>重大伤亡事故发生率为0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906"/>
              <w:spacing w:before="157" w:line="255" w:lineRule="exact"/>
              <w:rPr/>
            </w:pPr>
            <w:r>
              <w:rPr>
                <w:position w:val="1"/>
              </w:rPr>
              <w:t>0</w:t>
            </w:r>
          </w:p>
        </w:tc>
        <w:tc>
          <w:tcPr>
            <w:tcW w:w="1895" w:type="dxa"/>
            <w:vAlign w:val="top"/>
          </w:tcPr>
          <w:p>
            <w:pPr>
              <w:pStyle w:val="TableText"/>
              <w:ind w:left="911"/>
              <w:spacing w:before="157" w:line="255" w:lineRule="exact"/>
              <w:rPr/>
            </w:pPr>
            <w:r>
              <w:rPr>
                <w:position w:val="1"/>
              </w:rPr>
              <w:t>0</w:t>
            </w:r>
          </w:p>
        </w:tc>
        <w:tc>
          <w:tcPr>
            <w:tcW w:w="1847" w:type="dxa"/>
            <w:vAlign w:val="top"/>
          </w:tcPr>
          <w:p>
            <w:pPr>
              <w:pStyle w:val="TableText"/>
              <w:ind w:left="884"/>
              <w:spacing w:before="157" w:line="255" w:lineRule="exact"/>
              <w:rPr/>
            </w:pPr>
            <w:r>
              <w:rPr>
                <w:position w:val="1"/>
              </w:rPr>
              <w:t>0</w:t>
            </w:r>
          </w:p>
        </w:tc>
      </w:tr>
    </w:tbl>
    <w:p>
      <w:pPr>
        <w:ind w:left="180" w:right="466" w:firstLine="486"/>
        <w:spacing w:before="137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公司非常关注自身产品、服务及运营方面对未来质量安</w:t>
      </w:r>
      <w:r>
        <w:rPr>
          <w:rFonts w:ascii="SimSun" w:hAnsi="SimSun" w:eastAsia="SimSun" w:cs="SimSun"/>
          <w:sz w:val="24"/>
          <w:szCs w:val="24"/>
          <w:spacing w:val="13"/>
        </w:rPr>
        <w:t>全、环境、能源消</w:t>
      </w:r>
      <w:r>
        <w:rPr>
          <w:rFonts w:ascii="SimSun" w:hAnsi="SimSun" w:eastAsia="SimSun" w:cs="SimSun"/>
          <w:sz w:val="24"/>
          <w:szCs w:val="24"/>
          <w:spacing w:val="6"/>
        </w:rPr>
        <w:t>耗、资源综合利用以及公共卫生等方面可能存在的公众隐忧，积极研究</w:t>
      </w:r>
      <w:r>
        <w:rPr>
          <w:rFonts w:ascii="SimSun" w:hAnsi="SimSun" w:eastAsia="SimSun" w:cs="SimSun"/>
          <w:sz w:val="24"/>
          <w:szCs w:val="24"/>
          <w:spacing w:val="5"/>
        </w:rPr>
        <w:t>对策并预</w:t>
      </w:r>
      <w:r>
        <w:rPr>
          <w:rFonts w:ascii="SimSun" w:hAnsi="SimSun" w:eastAsia="SimSun" w:cs="SimSun"/>
          <w:sz w:val="24"/>
          <w:szCs w:val="24"/>
          <w:spacing w:val="-4"/>
        </w:rPr>
        <w:t>先做出</w:t>
      </w:r>
    </w:p>
    <w:p>
      <w:pPr>
        <w:spacing w:line="301" w:lineRule="auto"/>
        <w:sectPr>
          <w:headerReference w:type="default" r:id="rId8"/>
          <w:footerReference w:type="default" r:id="rId9"/>
          <w:pgSz w:w="11906" w:h="16840"/>
          <w:pgMar w:top="997" w:right="1177" w:bottom="908" w:left="1473" w:header="595" w:footer="75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194" w:right="170" w:firstLine="464"/>
        <w:spacing w:before="78" w:line="30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应对准备。为此，公司制定了《突发环境事件应急预案》，充分将上述公众</w:t>
      </w:r>
      <w:r>
        <w:rPr>
          <w:rFonts w:ascii="SimSun" w:hAnsi="SimSun" w:eastAsia="SimSun" w:cs="SimSun"/>
          <w:sz w:val="24"/>
          <w:szCs w:val="24"/>
          <w:spacing w:val="-2"/>
        </w:rPr>
        <w:t>隐忧纳入制度规范。具体见下表：</w:t>
      </w:r>
    </w:p>
    <w:p>
      <w:pPr>
        <w:ind w:left="2806"/>
        <w:spacing w:before="237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对公众和环境的隐忧预见及应对</w:t>
      </w:r>
    </w:p>
    <w:p>
      <w:pPr>
        <w:spacing w:before="44"/>
        <w:rPr/>
      </w:pPr>
      <w:r/>
    </w:p>
    <w:tbl>
      <w:tblPr>
        <w:tblStyle w:val="TableNormal"/>
        <w:tblW w:w="8629" w:type="dxa"/>
        <w:tblInd w:w="1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2"/>
        <w:gridCol w:w="4195"/>
        <w:gridCol w:w="3062"/>
      </w:tblGrid>
      <w:tr>
        <w:trPr>
          <w:trHeight w:val="615" w:hRule="atLeast"/>
        </w:trPr>
        <w:tc>
          <w:tcPr>
            <w:tcW w:w="1372" w:type="dxa"/>
            <w:vAlign w:val="top"/>
          </w:tcPr>
          <w:p>
            <w:pPr>
              <w:ind w:firstLine="2"/>
              <w:spacing w:before="2" w:line="60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865504" cy="382904"/>
                  <wp:effectExtent l="0" t="0" r="0" b="0"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5504" cy="38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5" w:type="dxa"/>
            <w:vAlign w:val="top"/>
          </w:tcPr>
          <w:p>
            <w:pPr>
              <w:spacing w:before="2" w:line="60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2660650" cy="382904"/>
                  <wp:effectExtent l="0" t="0" r="0" b="0"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660650" cy="38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vAlign w:val="top"/>
          </w:tcPr>
          <w:p>
            <w:pPr>
              <w:ind w:firstLine="1"/>
              <w:spacing w:before="2" w:line="602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1939289" cy="382904"/>
                  <wp:effectExtent l="0" t="0" r="0" b="0"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9289" cy="38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20" w:hRule="atLeast"/>
        </w:trPr>
        <w:tc>
          <w:tcPr>
            <w:tcW w:w="1372" w:type="dxa"/>
            <w:vAlign w:val="top"/>
          </w:tcPr>
          <w:p>
            <w:pPr>
              <w:pStyle w:val="TableText"/>
              <w:ind w:left="12"/>
              <w:spacing w:before="30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节能减排</w:t>
            </w:r>
          </w:p>
        </w:tc>
        <w:tc>
          <w:tcPr>
            <w:tcW w:w="4195" w:type="dxa"/>
            <w:vAlign w:val="top"/>
          </w:tcPr>
          <w:p>
            <w:pPr>
              <w:pStyle w:val="TableText"/>
              <w:ind w:left="8" w:right="3"/>
              <w:spacing w:before="33" w:line="23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9"/>
              </w:rPr>
              <w:t>节能减排既是我国的基本国策，也是降低生</w:t>
            </w:r>
            <w:r>
              <w:rPr>
                <w:sz w:val="20"/>
                <w:szCs w:val="20"/>
                <w:spacing w:val="19"/>
              </w:rPr>
              <w:t>产成本提高产品竞争力和企业实现可持续发</w:t>
            </w:r>
            <w:r>
              <w:rPr>
                <w:sz w:val="20"/>
                <w:szCs w:val="20"/>
                <w:spacing w:val="7"/>
              </w:rPr>
              <w:t>展的需要</w:t>
            </w:r>
          </w:p>
        </w:tc>
        <w:tc>
          <w:tcPr>
            <w:tcW w:w="3062" w:type="dxa"/>
            <w:vAlign w:val="top"/>
          </w:tcPr>
          <w:p>
            <w:pPr>
              <w:pStyle w:val="TableText"/>
              <w:ind w:left="13" w:right="5" w:hanging="2"/>
              <w:spacing w:before="167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7"/>
              </w:rPr>
              <w:t>积极引进先进技术、改进设备和</w:t>
            </w:r>
            <w:r>
              <w:rPr>
                <w:sz w:val="20"/>
                <w:szCs w:val="20"/>
                <w:spacing w:val="8"/>
              </w:rPr>
              <w:t>工艺逐渐淘汰高耗能设备</w:t>
            </w:r>
          </w:p>
        </w:tc>
      </w:tr>
      <w:tr>
        <w:trPr>
          <w:trHeight w:val="552" w:hRule="atLeast"/>
        </w:trPr>
        <w:tc>
          <w:tcPr>
            <w:tcW w:w="1372" w:type="dxa"/>
            <w:vAlign w:val="top"/>
          </w:tcPr>
          <w:p>
            <w:pPr>
              <w:pStyle w:val="TableText"/>
              <w:ind w:left="16"/>
              <w:spacing w:before="16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安全管理</w:t>
            </w:r>
          </w:p>
        </w:tc>
        <w:tc>
          <w:tcPr>
            <w:tcW w:w="4195" w:type="dxa"/>
            <w:vAlign w:val="top"/>
          </w:tcPr>
          <w:p>
            <w:pPr>
              <w:pStyle w:val="TableText"/>
              <w:ind w:left="10"/>
              <w:spacing w:before="16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可能存在的火灾、事故隐患</w:t>
            </w:r>
          </w:p>
        </w:tc>
        <w:tc>
          <w:tcPr>
            <w:tcW w:w="3062" w:type="dxa"/>
            <w:vAlign w:val="top"/>
          </w:tcPr>
          <w:p>
            <w:pPr>
              <w:pStyle w:val="TableText"/>
              <w:ind w:left="14" w:right="5" w:hanging="2"/>
              <w:spacing w:before="32"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7"/>
              </w:rPr>
              <w:t>规范安全操作，安装完善的消防</w:t>
            </w:r>
            <w:r>
              <w:rPr>
                <w:sz w:val="20"/>
                <w:szCs w:val="20"/>
                <w:spacing w:val="9"/>
              </w:rPr>
              <w:t>设施，制定应急预案并定期演练</w:t>
            </w:r>
          </w:p>
        </w:tc>
      </w:tr>
    </w:tbl>
    <w:p>
      <w:pPr>
        <w:ind w:left="180" w:right="170" w:firstLine="486"/>
        <w:spacing w:before="136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公司对产品、服务和运营中对在质量安全、环境保护、能源节约、资源综合</w:t>
      </w:r>
      <w:r>
        <w:rPr>
          <w:rFonts w:ascii="SimSun" w:hAnsi="SimSun" w:eastAsia="SimSun" w:cs="SimSun"/>
          <w:sz w:val="24"/>
          <w:szCs w:val="24"/>
          <w:spacing w:val="6"/>
        </w:rPr>
        <w:t>利用、安全生产、产品安全、公共卫生等方面进行风险识别，确立目标</w:t>
      </w:r>
      <w:r>
        <w:rPr>
          <w:rFonts w:ascii="SimSun" w:hAnsi="SimSun" w:eastAsia="SimSun" w:cs="SimSun"/>
          <w:sz w:val="24"/>
          <w:szCs w:val="24"/>
          <w:spacing w:val="5"/>
        </w:rPr>
        <w:t>及测量方</w:t>
      </w:r>
      <w:r>
        <w:rPr>
          <w:rFonts w:ascii="SimSun" w:hAnsi="SimSun" w:eastAsia="SimSun" w:cs="SimSun"/>
          <w:sz w:val="24"/>
          <w:szCs w:val="24"/>
          <w:spacing w:val="-1"/>
        </w:rPr>
        <w:t>法，并在关键过程采取有力措施。</w:t>
      </w:r>
    </w:p>
    <w:p>
      <w:pPr>
        <w:ind w:left="3175"/>
        <w:spacing w:before="236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公共责任控制措施与指标</w:t>
      </w:r>
    </w:p>
    <w:p>
      <w:pPr>
        <w:spacing w:before="52"/>
        <w:rPr/>
      </w:pPr>
      <w:r/>
    </w:p>
    <w:tbl>
      <w:tblPr>
        <w:tblStyle w:val="TableNormal"/>
        <w:tblW w:w="8629" w:type="dxa"/>
        <w:tblInd w:w="1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4"/>
        <w:gridCol w:w="1350"/>
        <w:gridCol w:w="1344"/>
        <w:gridCol w:w="1345"/>
        <w:gridCol w:w="1520"/>
        <w:gridCol w:w="390"/>
        <w:gridCol w:w="1656"/>
      </w:tblGrid>
      <w:tr>
        <w:trPr>
          <w:trHeight w:val="614" w:hRule="atLeast"/>
        </w:trPr>
        <w:tc>
          <w:tcPr>
            <w:tcW w:w="1024" w:type="dxa"/>
            <w:vAlign w:val="top"/>
          </w:tcPr>
          <w:p>
            <w:pPr>
              <w:ind w:firstLine="2"/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644525" cy="383540"/>
                  <wp:effectExtent l="0" t="0" r="0" b="0"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4452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vAlign w:val="top"/>
          </w:tcPr>
          <w:p>
            <w:pPr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853948" cy="383540"/>
                  <wp:effectExtent l="0" t="0" r="0" b="0"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3948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vAlign w:val="top"/>
          </w:tcPr>
          <w:p>
            <w:pPr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850264" cy="383540"/>
                  <wp:effectExtent l="0" t="0" r="0" b="0"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0264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  <w:vAlign w:val="top"/>
          </w:tcPr>
          <w:p>
            <w:pPr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850391" cy="383540"/>
                  <wp:effectExtent l="0" t="0" r="0" b="0"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0391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vAlign w:val="top"/>
          </w:tcPr>
          <w:p>
            <w:pPr>
              <w:ind w:firstLine="1"/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960882" cy="383540"/>
                  <wp:effectExtent l="0" t="0" r="0" b="0"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60882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  <w:vAlign w:val="top"/>
            <w:gridSpan w:val="2"/>
          </w:tcPr>
          <w:p>
            <w:pPr>
              <w:ind w:firstLine="2"/>
              <w:spacing w:line="604" w:lineRule="exact"/>
              <w:rPr/>
            </w:pPr>
            <w:r>
              <w:rPr>
                <w:position w:val="-12"/>
              </w:rPr>
              <w:drawing>
                <wp:inline distT="0" distB="0" distL="0" distR="0">
                  <wp:extent cx="1293494" cy="383540"/>
                  <wp:effectExtent l="0" t="0" r="0" b="0"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93494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93" w:hRule="atLeast"/>
        </w:trPr>
        <w:tc>
          <w:tcPr>
            <w:tcW w:w="1024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50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44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1345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1520" w:type="dxa"/>
            <w:vAlign w:val="top"/>
            <w:tcBorders>
              <w:bottom w:val="nil"/>
            </w:tcBorders>
          </w:tcPr>
          <w:p>
            <w:pPr>
              <w:spacing w:line="182" w:lineRule="exact"/>
              <w:rPr>
                <w:rFonts w:ascii="Arial"/>
                <w:sz w:val="15"/>
              </w:rPr>
            </w:pPr>
            <w:r/>
          </w:p>
        </w:tc>
        <w:tc>
          <w:tcPr>
            <w:tcW w:w="2046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212"/>
              <w:spacing w:before="48" w:line="134" w:lineRule="exact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8480" behindDoc="1" locked="0" layoutInCell="1" allowOverlap="1">
                  <wp:simplePos x="0" y="0"/>
                  <wp:positionH relativeFrom="column">
                    <wp:posOffset>78613</wp:posOffset>
                  </wp:positionH>
                  <wp:positionV relativeFrom="paragraph">
                    <wp:posOffset>1270</wp:posOffset>
                  </wp:positionV>
                  <wp:extent cx="121920" cy="121919"/>
                  <wp:effectExtent l="0" t="0" r="0" b="0"/>
                  <wp:wrapNone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3"/>
                <w:szCs w:val="13"/>
                <w:spacing w:val="12"/>
              </w:rPr>
              <w:t>1</w:t>
            </w:r>
            <w:r>
              <w:rPr>
                <w:sz w:val="13"/>
                <w:szCs w:val="13"/>
                <w:spacing w:val="1"/>
              </w:rPr>
              <w:t xml:space="preserve">   </w:t>
            </w:r>
            <w:r>
              <w:rPr>
                <w:sz w:val="16"/>
                <w:szCs w:val="16"/>
                <w:spacing w:val="12"/>
                <w:position w:val="-2"/>
              </w:rPr>
              <w:t>加</w:t>
            </w:r>
            <w:r>
              <w:rPr>
                <w:sz w:val="16"/>
                <w:szCs w:val="16"/>
                <w:spacing w:val="-44"/>
                <w:position w:val="-2"/>
              </w:rPr>
              <w:t xml:space="preserve"> </w:t>
            </w:r>
            <w:r>
              <w:rPr>
                <w:sz w:val="16"/>
                <w:szCs w:val="16"/>
                <w:spacing w:val="12"/>
                <w:position w:val="-2"/>
              </w:rPr>
              <w:t>强</w:t>
            </w:r>
            <w:r>
              <w:rPr>
                <w:sz w:val="16"/>
                <w:szCs w:val="16"/>
                <w:spacing w:val="-45"/>
                <w:position w:val="-2"/>
              </w:rPr>
              <w:t xml:space="preserve"> </w:t>
            </w:r>
            <w:r>
              <w:rPr>
                <w:sz w:val="16"/>
                <w:szCs w:val="16"/>
                <w:spacing w:val="12"/>
                <w:position w:val="-2"/>
              </w:rPr>
              <w:t>原</w:t>
            </w:r>
            <w:r>
              <w:rPr>
                <w:sz w:val="16"/>
                <w:szCs w:val="16"/>
                <w:spacing w:val="-47"/>
                <w:position w:val="-2"/>
              </w:rPr>
              <w:t xml:space="preserve"> </w:t>
            </w:r>
            <w:r>
              <w:rPr>
                <w:sz w:val="16"/>
                <w:szCs w:val="16"/>
                <w:spacing w:val="12"/>
                <w:position w:val="-2"/>
              </w:rPr>
              <w:t>材料采购</w:t>
            </w:r>
          </w:p>
        </w:tc>
      </w:tr>
      <w:tr>
        <w:trPr>
          <w:trHeight w:val="1023" w:hRule="atLeast"/>
        </w:trPr>
        <w:tc>
          <w:tcPr>
            <w:tcW w:w="1024" w:type="dxa"/>
            <w:vAlign w:val="top"/>
            <w:tcBorders>
              <w:top w:val="nil"/>
            </w:tcBorders>
          </w:tcPr>
          <w:p>
            <w:pPr>
              <w:ind w:left="88"/>
              <w:spacing w:before="328" w:line="255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color w:val="161616"/>
                <w:spacing w:val="-11"/>
                <w:w w:val="95"/>
                <w:position w:val="-1"/>
              </w:rPr>
              <w:t>产品质量</w:t>
            </w:r>
          </w:p>
        </w:tc>
        <w:tc>
          <w:tcPr>
            <w:tcW w:w="1350" w:type="dxa"/>
            <w:vAlign w:val="top"/>
            <w:tcBorders>
              <w:top w:val="nil"/>
            </w:tcBorders>
          </w:tcPr>
          <w:p>
            <w:pPr>
              <w:pStyle w:val="TableText"/>
              <w:ind w:left="113" w:right="269"/>
              <w:spacing w:before="1" w:line="24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2"/>
              </w:rPr>
              <w:t>重要原材料</w:t>
            </w:r>
            <w:r>
              <w:rPr>
                <w:sz w:val="16"/>
                <w:szCs w:val="16"/>
                <w:spacing w:val="10"/>
              </w:rPr>
              <w:t>质</w:t>
            </w:r>
            <w:r>
              <w:rPr>
                <w:sz w:val="16"/>
                <w:szCs w:val="16"/>
                <w:spacing w:val="-44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量控制</w:t>
            </w:r>
          </w:p>
          <w:p>
            <w:pPr>
              <w:pStyle w:val="TableText"/>
              <w:ind w:left="117"/>
              <w:spacing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级配控制</w:t>
            </w:r>
          </w:p>
          <w:p>
            <w:pPr>
              <w:pStyle w:val="TableText"/>
              <w:ind w:left="117"/>
              <w:spacing w:before="34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5"/>
              </w:rPr>
              <w:t>关键工序控制</w:t>
            </w:r>
          </w:p>
        </w:tc>
        <w:tc>
          <w:tcPr>
            <w:tcW w:w="1344" w:type="dxa"/>
            <w:vAlign w:val="top"/>
            <w:tcBorders>
              <w:top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2"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低风险</w:t>
            </w:r>
          </w:p>
        </w:tc>
        <w:tc>
          <w:tcPr>
            <w:tcW w:w="1345" w:type="dxa"/>
            <w:vAlign w:val="top"/>
            <w:tcBorders>
              <w:top w:val="nil"/>
            </w:tcBorders>
          </w:tcPr>
          <w:p>
            <w:pPr>
              <w:pStyle w:val="TableText"/>
              <w:ind w:left="120" w:right="263" w:firstLine="2"/>
              <w:spacing w:before="92" w:line="27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8"/>
              </w:rPr>
              <w:t>参</w:t>
            </w:r>
            <w:r>
              <w:rPr>
                <w:sz w:val="16"/>
                <w:szCs w:val="16"/>
                <w:spacing w:val="-39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照国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家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或</w:t>
            </w:r>
            <w:r>
              <w:rPr>
                <w:sz w:val="16"/>
                <w:szCs w:val="16"/>
                <w:spacing w:val="31"/>
              </w:rPr>
              <w:t>行业相关标</w:t>
            </w:r>
            <w:r>
              <w:rPr>
                <w:sz w:val="16"/>
                <w:szCs w:val="16"/>
                <w:spacing w:val="26"/>
              </w:rPr>
              <w:t>准执行</w:t>
            </w:r>
          </w:p>
        </w:tc>
        <w:tc>
          <w:tcPr>
            <w:tcW w:w="1520" w:type="dxa"/>
            <w:vAlign w:val="top"/>
            <w:tcBorders>
              <w:top w:val="nil"/>
            </w:tcBorders>
          </w:tcPr>
          <w:p>
            <w:pPr>
              <w:pStyle w:val="TableText"/>
              <w:ind w:left="120" w:right="170"/>
              <w:spacing w:line="26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严格执行国家</w:t>
            </w:r>
            <w:r>
              <w:rPr>
                <w:sz w:val="16"/>
                <w:szCs w:val="16"/>
                <w:spacing w:val="10"/>
              </w:rPr>
              <w:t>与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地方标准，所</w:t>
            </w:r>
            <w:r>
              <w:rPr>
                <w:sz w:val="16"/>
                <w:szCs w:val="16"/>
                <w:spacing w:val="5"/>
              </w:rPr>
              <w:t>有产品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质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量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均</w:t>
            </w:r>
          </w:p>
          <w:p>
            <w:pPr>
              <w:pStyle w:val="TableText"/>
              <w:ind w:left="129"/>
              <w:spacing w:line="23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需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达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到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国家标准</w:t>
            </w:r>
          </w:p>
        </w:tc>
        <w:tc>
          <w:tcPr>
            <w:tcW w:w="2046" w:type="dxa"/>
            <w:vAlign w:val="top"/>
            <w:gridSpan w:val="2"/>
            <w:tcBorders>
              <w:top w:val="nil"/>
            </w:tcBorders>
          </w:tcPr>
          <w:p>
            <w:pPr>
              <w:pStyle w:val="TableText"/>
              <w:ind w:left="464"/>
              <w:spacing w:before="92" w:line="232" w:lineRule="auto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9504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197484</wp:posOffset>
                  </wp:positionV>
                  <wp:extent cx="121920" cy="121920"/>
                  <wp:effectExtent l="0" t="0" r="0" b="0"/>
                  <wp:wrapNone/>
                  <wp:docPr id="44" name="IM 4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4" name="IM 4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517525</wp:posOffset>
                  </wp:positionV>
                  <wp:extent cx="121920" cy="121920"/>
                  <wp:effectExtent l="0" t="0" r="0" b="0"/>
                  <wp:wrapNone/>
                  <wp:docPr id="46" name="IM 4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6" name="IM 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  <w:spacing w:val="12"/>
              </w:rPr>
              <w:t>控制；</w:t>
            </w:r>
          </w:p>
          <w:p>
            <w:pPr>
              <w:pStyle w:val="TableText"/>
              <w:ind w:left="461" w:right="246" w:hanging="267"/>
              <w:spacing w:before="32" w:line="263" w:lineRule="auto"/>
              <w:rPr>
                <w:sz w:val="16"/>
                <w:szCs w:val="16"/>
              </w:rPr>
            </w:pPr>
            <w:r>
              <w:rPr>
                <w:sz w:val="13"/>
                <w:szCs w:val="13"/>
                <w:spacing w:val="9"/>
              </w:rPr>
              <w:t>2</w:t>
            </w:r>
            <w:r>
              <w:rPr>
                <w:sz w:val="13"/>
                <w:szCs w:val="13"/>
                <w:spacing w:val="4"/>
              </w:rPr>
              <w:t xml:space="preserve">   </w:t>
            </w:r>
            <w:r>
              <w:rPr>
                <w:sz w:val="16"/>
                <w:szCs w:val="16"/>
                <w:spacing w:val="9"/>
              </w:rPr>
              <w:t>加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强过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程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关键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9"/>
              </w:rPr>
              <w:t>工</w:t>
            </w:r>
            <w:r>
              <w:rPr>
                <w:sz w:val="16"/>
                <w:szCs w:val="16"/>
                <w:spacing w:val="5"/>
              </w:rPr>
              <w:t>序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控制；</w:t>
            </w:r>
          </w:p>
          <w:p>
            <w:pPr>
              <w:pStyle w:val="TableText"/>
              <w:ind w:left="197"/>
              <w:spacing w:line="230" w:lineRule="auto"/>
              <w:rPr>
                <w:sz w:val="16"/>
                <w:szCs w:val="16"/>
              </w:rPr>
            </w:pPr>
            <w:r>
              <w:rPr>
                <w:sz w:val="13"/>
                <w:szCs w:val="13"/>
                <w:spacing w:val="7"/>
                <w:position w:val="-4"/>
              </w:rPr>
              <w:t>3   </w:t>
            </w:r>
            <w:r>
              <w:rPr>
                <w:sz w:val="16"/>
                <w:szCs w:val="16"/>
                <w:spacing w:val="7"/>
              </w:rPr>
              <w:t>定期检测；</w:t>
            </w:r>
          </w:p>
        </w:tc>
      </w:tr>
      <w:tr>
        <w:trPr>
          <w:trHeight w:val="1844" w:hRule="atLeast"/>
        </w:trPr>
        <w:tc>
          <w:tcPr>
            <w:tcW w:w="102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88"/>
              <w:spacing w:before="107" w:line="257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5"/>
                <w:w w:val="92"/>
                <w:position w:val="-1"/>
              </w:rPr>
              <w:t>环境保护</w:t>
            </w:r>
          </w:p>
        </w:tc>
        <w:tc>
          <w:tcPr>
            <w:tcW w:w="135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60" w:firstLine="3"/>
              <w:spacing w:before="52" w:line="28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1"/>
              </w:rPr>
              <w:t>污水、噪音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4"/>
              </w:rPr>
              <w:t>、废气、废</w:t>
            </w:r>
            <w:r>
              <w:rPr>
                <w:sz w:val="16"/>
                <w:szCs w:val="16"/>
                <w:spacing w:val="3"/>
              </w:rPr>
              <w:t>物</w:t>
            </w:r>
          </w:p>
        </w:tc>
        <w:tc>
          <w:tcPr>
            <w:tcW w:w="134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04" w:firstLine="2"/>
              <w:spacing w:before="52" w:line="27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水体污染、干</w:t>
            </w:r>
            <w:r>
              <w:rPr>
                <w:sz w:val="16"/>
                <w:szCs w:val="16"/>
                <w:spacing w:val="9"/>
              </w:rPr>
              <w:t>扰居民生活、</w:t>
            </w:r>
            <w:r>
              <w:rPr>
                <w:sz w:val="16"/>
                <w:szCs w:val="16"/>
                <w:spacing w:val="9"/>
              </w:rPr>
              <w:t>污染大气</w:t>
            </w:r>
          </w:p>
        </w:tc>
        <w:tc>
          <w:tcPr>
            <w:tcW w:w="13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41" w:firstLine="10"/>
              <w:spacing w:before="52" w:line="2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8"/>
              </w:rPr>
              <w:t>《污水综合排</w:t>
            </w:r>
            <w:r>
              <w:rPr>
                <w:sz w:val="16"/>
                <w:szCs w:val="16"/>
                <w:spacing w:val="6"/>
              </w:rPr>
              <w:t>放标准》、《</w:t>
            </w:r>
            <w:r>
              <w:rPr>
                <w:sz w:val="16"/>
                <w:szCs w:val="16"/>
                <w:spacing w:val="3"/>
              </w:rPr>
              <w:t>工业</w:t>
            </w:r>
            <w:r>
              <w:rPr>
                <w:sz w:val="16"/>
                <w:szCs w:val="16"/>
                <w:spacing w:val="-38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企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业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厂</w:t>
            </w:r>
            <w:r>
              <w:rPr>
                <w:sz w:val="16"/>
                <w:szCs w:val="16"/>
                <w:spacing w:val="3"/>
              </w:rPr>
              <w:t>界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噪</w:t>
            </w:r>
            <w:r>
              <w:rPr>
                <w:sz w:val="16"/>
                <w:szCs w:val="16"/>
                <w:spacing w:val="-43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声标准》</w:t>
            </w:r>
            <w:r>
              <w:rPr>
                <w:sz w:val="16"/>
                <w:szCs w:val="16"/>
                <w:spacing w:val="8"/>
              </w:rPr>
              <w:t>等要求</w:t>
            </w:r>
          </w:p>
        </w:tc>
        <w:tc>
          <w:tcPr>
            <w:tcW w:w="15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70"/>
              <w:spacing w:before="52" w:line="27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1"/>
              </w:rPr>
              <w:t>严格执行国家</w:t>
            </w:r>
            <w:r>
              <w:rPr>
                <w:sz w:val="16"/>
                <w:szCs w:val="16"/>
                <w:spacing w:val="10"/>
              </w:rPr>
              <w:t>与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地方标准，所</w:t>
            </w:r>
            <w:r>
              <w:rPr>
                <w:sz w:val="16"/>
                <w:szCs w:val="16"/>
                <w:spacing w:val="4"/>
              </w:rPr>
              <w:t>有排放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均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需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达</w:t>
            </w:r>
            <w:r>
              <w:rPr>
                <w:sz w:val="16"/>
                <w:szCs w:val="16"/>
                <w:spacing w:val="8"/>
              </w:rPr>
              <w:t>到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国</w:t>
            </w:r>
            <w:r>
              <w:rPr>
                <w:sz w:val="16"/>
                <w:szCs w:val="16"/>
                <w:spacing w:val="-46"/>
              </w:rPr>
              <w:t xml:space="preserve"> </w:t>
            </w:r>
            <w:r>
              <w:rPr>
                <w:sz w:val="16"/>
                <w:szCs w:val="16"/>
                <w:spacing w:val="8"/>
              </w:rPr>
              <w:t>家标准</w:t>
            </w:r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ind w:left="469" w:right="243" w:hanging="257"/>
              <w:spacing w:before="150" w:line="271" w:lineRule="auto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66675</wp:posOffset>
                  </wp:positionV>
                  <wp:extent cx="121920" cy="121920"/>
                  <wp:effectExtent l="0" t="0" r="0" b="0"/>
                  <wp:wrapNone/>
                  <wp:docPr id="48" name="IM 4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8" name="IM 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385445</wp:posOffset>
                  </wp:positionV>
                  <wp:extent cx="121920" cy="121920"/>
                  <wp:effectExtent l="0" t="0" r="0" b="0"/>
                  <wp:wrapNone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705485</wp:posOffset>
                  </wp:positionV>
                  <wp:extent cx="121920" cy="121919"/>
                  <wp:effectExtent l="0" t="0" r="0" b="0"/>
                  <wp:wrapNone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3"/>
                <w:szCs w:val="13"/>
                <w:spacing w:val="14"/>
                <w:position w:val="2"/>
              </w:rPr>
              <w:t>1</w:t>
            </w:r>
            <w:r>
              <w:rPr>
                <w:sz w:val="13"/>
                <w:szCs w:val="13"/>
                <w:spacing w:val="4"/>
                <w:position w:val="2"/>
              </w:rPr>
              <w:t xml:space="preserve">   </w:t>
            </w:r>
            <w:r>
              <w:rPr>
                <w:sz w:val="16"/>
                <w:szCs w:val="16"/>
                <w:spacing w:val="14"/>
              </w:rPr>
              <w:t>安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14"/>
              </w:rPr>
              <w:t>装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14"/>
              </w:rPr>
              <w:t>台风机加速</w:t>
            </w:r>
            <w:r>
              <w:rPr>
                <w:sz w:val="16"/>
                <w:szCs w:val="16"/>
                <w:spacing w:val="13"/>
              </w:rPr>
              <w:t>空气流通；</w:t>
            </w:r>
          </w:p>
          <w:p>
            <w:pPr>
              <w:pStyle w:val="TableText"/>
              <w:ind w:left="469" w:right="241" w:hanging="275"/>
              <w:spacing w:before="1" w:line="269" w:lineRule="auto"/>
              <w:rPr>
                <w:sz w:val="16"/>
                <w:szCs w:val="16"/>
              </w:rPr>
            </w:pPr>
            <w:r>
              <w:rPr>
                <w:sz w:val="13"/>
                <w:szCs w:val="13"/>
                <w:spacing w:val="11"/>
              </w:rPr>
              <w:t>2   </w:t>
            </w:r>
            <w:r>
              <w:rPr>
                <w:sz w:val="16"/>
                <w:szCs w:val="16"/>
                <w:spacing w:val="11"/>
              </w:rPr>
              <w:t>安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装废</w:t>
            </w:r>
            <w:r>
              <w:rPr>
                <w:sz w:val="16"/>
                <w:szCs w:val="16"/>
                <w:spacing w:val="-47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水循环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处</w:t>
            </w:r>
            <w:r>
              <w:rPr>
                <w:sz w:val="16"/>
                <w:szCs w:val="16"/>
                <w:spacing w:val="3"/>
              </w:rPr>
              <w:t>理</w:t>
            </w:r>
            <w:r>
              <w:rPr>
                <w:sz w:val="16"/>
                <w:szCs w:val="16"/>
                <w:spacing w:val="-4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系统；</w:t>
            </w:r>
          </w:p>
          <w:p>
            <w:pPr>
              <w:pStyle w:val="TableText"/>
              <w:ind w:left="470" w:right="136" w:hanging="273"/>
              <w:spacing w:before="1" w:line="237" w:lineRule="auto"/>
              <w:rPr>
                <w:sz w:val="16"/>
                <w:szCs w:val="16"/>
              </w:rPr>
            </w:pPr>
            <w:r>
              <w:rPr>
                <w:sz w:val="13"/>
                <w:szCs w:val="13"/>
                <w:spacing w:val="15"/>
                <w:position w:val="-3"/>
              </w:rPr>
              <w:t>3</w:t>
            </w:r>
            <w:r>
              <w:rPr>
                <w:sz w:val="13"/>
                <w:szCs w:val="13"/>
                <w:spacing w:val="5"/>
                <w:position w:val="-3"/>
              </w:rPr>
              <w:t xml:space="preserve">   </w:t>
            </w:r>
            <w:r>
              <w:rPr>
                <w:sz w:val="16"/>
                <w:szCs w:val="16"/>
                <w:spacing w:val="15"/>
              </w:rPr>
              <w:t>严格实施</w:t>
            </w:r>
            <w:r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  <w:spacing w:val="15"/>
              </w:rPr>
              <w:t>14001</w:t>
            </w:r>
            <w:r>
              <w:rPr>
                <w:sz w:val="16"/>
                <w:szCs w:val="16"/>
                <w:spacing w:val="9"/>
              </w:rPr>
              <w:t>管理体系；</w:t>
            </w:r>
          </w:p>
          <w:p>
            <w:pPr>
              <w:pStyle w:val="TableText"/>
              <w:ind w:left="189" w:right="749" w:firstLine="281"/>
              <w:spacing w:before="20" w:line="186" w:lineRule="auto"/>
              <w:rPr>
                <w:sz w:val="13"/>
                <w:szCs w:val="13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78613</wp:posOffset>
                  </wp:positionH>
                  <wp:positionV relativeFrom="paragraph">
                    <wp:posOffset>58535</wp:posOffset>
                  </wp:positionV>
                  <wp:extent cx="121920" cy="121920"/>
                  <wp:effectExtent l="0" t="0" r="0" b="0"/>
                  <wp:wrapNone/>
                  <wp:docPr id="54" name="IM 5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4" name="IM 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  <w:spacing w:val="4"/>
              </w:rPr>
              <w:t>定期检测；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3"/>
                <w:szCs w:val="13"/>
              </w:rPr>
              <w:t>4</w:t>
            </w:r>
          </w:p>
        </w:tc>
      </w:tr>
      <w:tr>
        <w:trPr>
          <w:trHeight w:val="1262" w:hRule="atLeast"/>
        </w:trPr>
        <w:tc>
          <w:tcPr>
            <w:tcW w:w="10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88" w:right="256" w:firstLine="15"/>
              <w:spacing w:before="107" w:line="290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11"/>
                <w:w w:val="86"/>
                <w:position w:val="1"/>
              </w:rPr>
              <w:t>能:源资</w:t>
            </w: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7"/>
                <w:w w:val="90"/>
                <w:position w:val="1"/>
              </w:rPr>
              <w:t>源利用</w:t>
            </w:r>
          </w:p>
        </w:tc>
        <w:tc>
          <w:tcPr>
            <w:tcW w:w="135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52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电、水、煤</w:t>
            </w:r>
          </w:p>
        </w:tc>
        <w:tc>
          <w:tcPr>
            <w:tcW w:w="1344" w:type="dxa"/>
            <w:vAlign w:val="top"/>
          </w:tcPr>
          <w:p>
            <w:pPr>
              <w:pStyle w:val="TableText"/>
              <w:ind w:left="115" w:right="197" w:firstLine="1"/>
              <w:spacing w:before="219" w:line="2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0"/>
              </w:rPr>
              <w:t>增加生产成本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；浪费能源资</w:t>
            </w:r>
            <w:r>
              <w:rPr>
                <w:sz w:val="16"/>
                <w:szCs w:val="16"/>
                <w:spacing w:val="21"/>
              </w:rPr>
              <w:t>源；影响可</w:t>
            </w:r>
            <w:r>
              <w:rPr>
                <w:sz w:val="16"/>
                <w:szCs w:val="16"/>
                <w:spacing w:val="29"/>
              </w:rPr>
              <w:t>持续发展</w:t>
            </w:r>
          </w:p>
        </w:tc>
        <w:tc>
          <w:tcPr>
            <w:tcW w:w="1345" w:type="dxa"/>
            <w:vAlign w:val="top"/>
          </w:tcPr>
          <w:p>
            <w:pPr>
              <w:pStyle w:val="TableText"/>
              <w:ind w:left="110" w:right="131" w:firstLine="7"/>
              <w:spacing w:before="216" w:line="2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2"/>
              </w:rPr>
              <w:t>地方政府下</w:t>
            </w:r>
            <w:r>
              <w:rPr>
                <w:sz w:val="16"/>
                <w:szCs w:val="16"/>
                <w:spacing w:val="15"/>
              </w:rPr>
              <w:t>发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spacing w:val="15"/>
              </w:rPr>
              <w:t>的《年度能</w:t>
            </w:r>
            <w:r>
              <w:rPr>
                <w:sz w:val="16"/>
                <w:szCs w:val="16"/>
              </w:rPr>
              <w:t>源</w:t>
            </w:r>
            <w:r>
              <w:rPr>
                <w:sz w:val="16"/>
                <w:szCs w:val="16"/>
                <w:spacing w:val="-58"/>
              </w:rPr>
              <w:t xml:space="preserve"> </w:t>
            </w:r>
            <w:r>
              <w:rPr>
                <w:sz w:val="16"/>
                <w:szCs w:val="16"/>
              </w:rPr>
              <w:t>“双控</w:t>
            </w:r>
            <w:r>
              <w:rPr>
                <w:sz w:val="16"/>
                <w:szCs w:val="16"/>
                <w:spacing w:val="-57"/>
              </w:rPr>
              <w:t xml:space="preserve"> </w:t>
            </w:r>
            <w:r>
              <w:rPr>
                <w:sz w:val="16"/>
                <w:szCs w:val="16"/>
              </w:rPr>
              <w:t>”</w:t>
            </w:r>
            <w:r>
              <w:rPr>
                <w:sz w:val="16"/>
                <w:szCs w:val="16"/>
                <w:spacing w:val="-54"/>
              </w:rPr>
              <w:t xml:space="preserve"> </w:t>
            </w:r>
            <w:r>
              <w:rPr>
                <w:sz w:val="16"/>
                <w:szCs w:val="16"/>
              </w:rPr>
              <w:t>目</w:t>
            </w:r>
            <w:r>
              <w:rPr>
                <w:sz w:val="16"/>
                <w:szCs w:val="16"/>
                <w:spacing w:val="9"/>
              </w:rPr>
              <w:t>标责任书》</w:t>
            </w:r>
          </w:p>
        </w:tc>
        <w:tc>
          <w:tcPr>
            <w:tcW w:w="1520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99"/>
              <w:spacing w:before="52" w:line="2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0"/>
              </w:rPr>
              <w:t>节能减排目标责</w:t>
            </w:r>
            <w:r>
              <w:rPr>
                <w:sz w:val="16"/>
                <w:szCs w:val="16"/>
                <w:spacing w:val="9"/>
              </w:rPr>
              <w:t>任书</w:t>
            </w:r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ind w:left="463" w:right="193" w:hanging="251"/>
              <w:spacing w:before="95" w:line="270" w:lineRule="auto"/>
              <w:rPr>
                <w:sz w:val="16"/>
                <w:szCs w:val="16"/>
              </w:rPr>
            </w:pP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31749</wp:posOffset>
                  </wp:positionV>
                  <wp:extent cx="121920" cy="121920"/>
                  <wp:effectExtent l="0" t="0" r="0" b="0"/>
                  <wp:wrapNone/>
                  <wp:docPr id="56" name="IM 5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6" name="IM 5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1" locked="0" layoutInCell="1" allowOverlap="1">
                  <wp:simplePos x="0" y="0"/>
                  <wp:positionH relativeFrom="rightMargin">
                    <wp:posOffset>-1217421</wp:posOffset>
                  </wp:positionH>
                  <wp:positionV relativeFrom="topMargin">
                    <wp:posOffset>517524</wp:posOffset>
                  </wp:positionV>
                  <wp:extent cx="121920" cy="121920"/>
                  <wp:effectExtent l="0" t="0" r="0" b="0"/>
                  <wp:wrapNone/>
                  <wp:docPr id="58" name="IM 5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8" name="IM 5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3"/>
                <w:szCs w:val="13"/>
                <w:spacing w:val="10"/>
                <w:position w:val="2"/>
              </w:rPr>
              <w:t>1</w:t>
            </w:r>
            <w:r>
              <w:rPr>
                <w:sz w:val="13"/>
                <w:szCs w:val="13"/>
                <w:spacing w:val="1"/>
                <w:position w:val="2"/>
              </w:rPr>
              <w:t xml:space="preserve">   </w:t>
            </w:r>
            <w:r>
              <w:rPr>
                <w:sz w:val="16"/>
                <w:szCs w:val="16"/>
                <w:spacing w:val="10"/>
              </w:rPr>
              <w:t>制定年度节能指标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,</w:t>
            </w:r>
            <w:r>
              <w:rPr>
                <w:sz w:val="16"/>
                <w:szCs w:val="16"/>
                <w:spacing w:val="54"/>
                <w:w w:val="101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分解到各部门，</w:t>
            </w:r>
            <w:r>
              <w:rPr>
                <w:sz w:val="16"/>
                <w:szCs w:val="16"/>
                <w:spacing w:val="8"/>
              </w:rPr>
              <w:t>进行考核；</w:t>
            </w:r>
          </w:p>
          <w:p>
            <w:pPr>
              <w:pStyle w:val="TableText"/>
              <w:ind w:left="465" w:right="243" w:hanging="271"/>
              <w:spacing w:before="1" w:line="249" w:lineRule="auto"/>
              <w:rPr>
                <w:sz w:val="16"/>
                <w:szCs w:val="16"/>
              </w:rPr>
            </w:pPr>
            <w:r>
              <w:rPr>
                <w:sz w:val="13"/>
                <w:szCs w:val="13"/>
                <w:spacing w:val="6"/>
                <w:position w:val="-3"/>
              </w:rPr>
              <w:t>2   </w:t>
            </w:r>
            <w:r>
              <w:rPr>
                <w:sz w:val="16"/>
                <w:szCs w:val="16"/>
                <w:spacing w:val="6"/>
              </w:rPr>
              <w:t>制</w:t>
            </w:r>
            <w:r>
              <w:rPr>
                <w:sz w:val="16"/>
                <w:szCs w:val="16"/>
                <w:spacing w:val="-39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定年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度节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能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降</w:t>
            </w:r>
            <w:r>
              <w:rPr>
                <w:sz w:val="16"/>
                <w:szCs w:val="16"/>
                <w:spacing w:val="14"/>
              </w:rPr>
              <w:t>耗计划措施；</w:t>
            </w:r>
          </w:p>
        </w:tc>
      </w:tr>
      <w:tr>
        <w:trPr>
          <w:trHeight w:val="586" w:hRule="atLeast"/>
        </w:trPr>
        <w:tc>
          <w:tcPr>
            <w:tcW w:w="102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98"/>
              <w:spacing w:before="107" w:line="256" w:lineRule="exact"/>
              <w:rPr>
                <w:rFonts w:ascii="Microsoft YaHei" w:hAnsi="Microsoft YaHei" w:eastAsia="Microsoft YaHei" w:cs="Microsoft YaHei"/>
                <w:sz w:val="25"/>
                <w:szCs w:val="25"/>
              </w:rPr>
            </w:pPr>
            <w:r>
              <w:rPr>
                <w:rFonts w:ascii="Microsoft YaHei" w:hAnsi="Microsoft YaHei" w:eastAsia="Microsoft YaHei" w:cs="Microsoft YaHei"/>
                <w:sz w:val="25"/>
                <w:szCs w:val="25"/>
                <w:spacing w:val="-5"/>
                <w:w w:val="91"/>
                <w:position w:val="-1"/>
              </w:rPr>
              <w:t>安全生产</w:t>
            </w:r>
          </w:p>
        </w:tc>
        <w:tc>
          <w:tcPr>
            <w:tcW w:w="1350" w:type="dxa"/>
            <w:vAlign w:val="top"/>
            <w:vMerge w:val="restart"/>
            <w:tcBorders>
              <w:bottom w:val="nil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12" w:firstLine="2"/>
              <w:spacing w:before="52" w:line="27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9"/>
              </w:rPr>
              <w:t>车辆伤害、机</w:t>
            </w:r>
            <w:r>
              <w:rPr>
                <w:sz w:val="16"/>
                <w:szCs w:val="16"/>
                <w:spacing w:val="10"/>
              </w:rPr>
              <w:t>械伤害、触电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0"/>
              </w:rPr>
              <w:t>、火灾等</w:t>
            </w:r>
          </w:p>
        </w:tc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52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人员伤亡</w:t>
            </w:r>
          </w:p>
          <w:p>
            <w:pPr>
              <w:pStyle w:val="TableText"/>
              <w:ind w:left="117"/>
              <w:spacing w:before="30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3"/>
              </w:rPr>
              <w:t>财产损失</w:t>
            </w:r>
          </w:p>
          <w:p>
            <w:pPr>
              <w:pStyle w:val="TableText"/>
              <w:ind w:left="116"/>
              <w:spacing w:before="30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6"/>
              </w:rPr>
              <w:t>影响社会稳定</w:t>
            </w:r>
          </w:p>
        </w:tc>
        <w:tc>
          <w:tcPr>
            <w:tcW w:w="13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5" w:right="193" w:firstLine="16"/>
              <w:spacing w:before="81"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国家标准要求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7"/>
              </w:rPr>
              <w:t>：工亡</w:t>
            </w:r>
          </w:p>
          <w:p>
            <w:pPr>
              <w:pStyle w:val="TableText"/>
              <w:ind w:left="121" w:right="205" w:firstLine="11"/>
              <w:spacing w:line="2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≤0.1‰；</w:t>
            </w:r>
            <w:r>
              <w:rPr>
                <w:sz w:val="16"/>
                <w:szCs w:val="16"/>
                <w:spacing w:val="-48"/>
              </w:rPr>
              <w:t xml:space="preserve"> </w:t>
            </w:r>
            <w:r>
              <w:rPr>
                <w:sz w:val="16"/>
                <w:szCs w:val="16"/>
                <w:spacing w:val="7"/>
              </w:rPr>
              <w:t>重</w:t>
            </w:r>
            <w:r>
              <w:rPr>
                <w:sz w:val="16"/>
                <w:szCs w:val="16"/>
                <w:spacing w:val="8"/>
              </w:rPr>
              <w:t>伤、重大火灾</w:t>
            </w:r>
            <w:r>
              <w:rPr>
                <w:sz w:val="16"/>
                <w:szCs w:val="16"/>
                <w:spacing w:val="11"/>
              </w:rPr>
              <w:t>≤1‰；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11"/>
              </w:rPr>
              <w:t>一般</w:t>
            </w:r>
            <w:r>
              <w:rPr>
                <w:sz w:val="16"/>
                <w:szCs w:val="16"/>
                <w:spacing w:val="15"/>
              </w:rPr>
              <w:t>火灾轻伤</w:t>
            </w:r>
          </w:p>
          <w:p>
            <w:pPr>
              <w:pStyle w:val="TableText"/>
              <w:ind w:left="133"/>
              <w:spacing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≤6‰</w:t>
            </w:r>
          </w:p>
        </w:tc>
        <w:tc>
          <w:tcPr>
            <w:tcW w:w="1520" w:type="dxa"/>
            <w:vAlign w:val="top"/>
            <w:vMerge w:val="restart"/>
            <w:tcBorders>
              <w:bottom w:val="nil"/>
            </w:tcBorders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252" w:hanging="22"/>
              <w:spacing w:before="52" w:line="26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4"/>
              </w:rPr>
              <w:t>工亡：0；重伤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9"/>
              </w:rPr>
              <w:t>:</w:t>
            </w:r>
            <w:r>
              <w:rPr>
                <w:sz w:val="16"/>
                <w:szCs w:val="16"/>
                <w:spacing w:val="67"/>
                <w:w w:val="101"/>
              </w:rPr>
              <w:t xml:space="preserve"> </w:t>
            </w:r>
            <w:r>
              <w:rPr>
                <w:sz w:val="16"/>
                <w:szCs w:val="16"/>
                <w:spacing w:val="-9"/>
              </w:rPr>
              <w:t>≤1‰；</w:t>
            </w:r>
          </w:p>
          <w:p>
            <w:pPr>
              <w:pStyle w:val="TableText"/>
              <w:ind w:left="120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轻伤：</w:t>
            </w:r>
            <w:r>
              <w:rPr>
                <w:sz w:val="16"/>
                <w:szCs w:val="16"/>
                <w:spacing w:val="-59"/>
              </w:rPr>
              <w:t xml:space="preserve"> </w:t>
            </w:r>
            <w:r>
              <w:rPr>
                <w:sz w:val="16"/>
                <w:szCs w:val="16"/>
              </w:rPr>
              <w:t>≤5‰</w:t>
            </w:r>
          </w:p>
        </w:tc>
        <w:tc>
          <w:tcPr>
            <w:tcW w:w="390" w:type="dxa"/>
            <w:vAlign w:val="top"/>
            <w:tcBorders>
              <w:bottom w:val="nil"/>
              <w:right w:val="nil"/>
            </w:tcBorders>
          </w:tcPr>
          <w:p>
            <w:pPr>
              <w:pStyle w:val="TableText"/>
              <w:ind w:firstLine="123"/>
              <w:spacing w:before="9" w:line="424" w:lineRule="exact"/>
              <w:rPr/>
            </w:pPr>
            <w:r>
              <w:rPr>
                <w:position w:val="-8"/>
              </w:rPr>
              <w:pict>
                <v:group id="_x0000_s12" style="mso-position-vertical-relative:line;mso-position-horizontal-relative:char;width:9.65pt;height:21.25pt;" filled="false" stroked="false" coordsize="192,425" coordorigin="0,0">
                  <v:shape id="_x0000_s14" style="position:absolute;left:0;top:0;width:192;height:425;" filled="false" stroked="false" type="#_x0000_t75">
                    <v:imagedata o:title="" r:id="rId34"/>
                  </v:shape>
                  <v:shape id="_x0000_s16" style="position:absolute;left:-20;top:-20;width:232;height:46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108"/>
                            <w:spacing w:before="66" w:line="179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1</w:t>
                          </w:r>
                        </w:p>
                        <w:p>
                          <w:pPr>
                            <w:ind w:left="90"/>
                            <w:spacing w:before="54" w:line="178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  <w:vMerge w:val="restart"/>
            <w:tcBorders>
              <w:left w:val="nil"/>
              <w:bottom w:val="nil"/>
            </w:tcBorders>
          </w:tcPr>
          <w:p>
            <w:pPr>
              <w:pStyle w:val="TableText"/>
              <w:ind w:left="84"/>
              <w:spacing w:before="50" w:line="23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2"/>
              </w:rPr>
              <w:t>实行目标管理；</w:t>
            </w:r>
          </w:p>
          <w:p>
            <w:pPr>
              <w:pStyle w:val="TableText"/>
              <w:ind w:left="76" w:right="150" w:firstLine="1"/>
              <w:spacing w:before="41"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0"/>
              </w:rPr>
              <w:t>制定安全生产制</w:t>
            </w:r>
            <w:r>
              <w:rPr>
                <w:sz w:val="16"/>
                <w:szCs w:val="16"/>
                <w:spacing w:val="18"/>
              </w:rPr>
              <w:t>度和安全操作规程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27"/>
              </w:rPr>
              <w:t>；签订安全管理</w:t>
            </w:r>
            <w:r>
              <w:rPr>
                <w:sz w:val="16"/>
                <w:szCs w:val="16"/>
                <w:spacing w:val="12"/>
              </w:rPr>
              <w:t>责任；</w:t>
            </w:r>
          </w:p>
          <w:p>
            <w:pPr>
              <w:pStyle w:val="TableText"/>
              <w:ind w:left="77" w:right="133"/>
              <w:spacing w:line="26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0"/>
              </w:rPr>
              <w:t>制订应急响应与响</w:t>
            </w:r>
            <w:r>
              <w:rPr>
                <w:sz w:val="16"/>
                <w:szCs w:val="16"/>
                <w:spacing w:val="8"/>
              </w:rPr>
              <w:t>应计划；</w:t>
            </w:r>
          </w:p>
          <w:p>
            <w:pPr>
              <w:pStyle w:val="TableText"/>
              <w:ind w:left="78" w:right="571"/>
              <w:spacing w:before="1"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培训与教育；</w:t>
            </w:r>
            <w:r>
              <w:rPr>
                <w:sz w:val="16"/>
                <w:szCs w:val="16"/>
                <w:spacing w:val="15"/>
              </w:rPr>
              <w:t>监督和检查</w:t>
            </w:r>
          </w:p>
        </w:tc>
      </w:tr>
      <w:tr>
        <w:trPr>
          <w:trHeight w:val="502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pStyle w:val="TableText"/>
              <w:ind w:firstLine="123"/>
              <w:spacing w:before="159" w:line="192" w:lineRule="exact"/>
              <w:rPr/>
            </w:pPr>
            <w:r>
              <w:rPr>
                <w:position w:val="-3"/>
              </w:rPr>
              <w:pict>
                <v:group id="_x0000_s18" style="mso-position-vertical-relative:line;mso-position-horizontal-relative:char;width:9.65pt;height:9.6pt;" filled="false" stroked="false" coordsize="192,192" coordorigin="0,0">
                  <v:shape id="_x0000_s20" style="position:absolute;left:0;top:0;width:192;height:192;" filled="false" stroked="false" type="#_x0000_t75">
                    <v:imagedata o:title="" r:id="rId35"/>
                  </v:shape>
                  <v:shape id="_x0000_s22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4"/>
                            <w:spacing w:before="63" w:line="178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3" w:hRule="atLeast"/>
        </w:trPr>
        <w:tc>
          <w:tcPr>
            <w:tcW w:w="10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pStyle w:val="TableText"/>
              <w:ind w:firstLine="123"/>
              <w:spacing w:before="159" w:line="192" w:lineRule="exact"/>
              <w:rPr/>
            </w:pPr>
            <w:r>
              <w:rPr>
                <w:position w:val="-3"/>
              </w:rPr>
              <w:pict>
                <v:group id="_x0000_s24" style="mso-position-vertical-relative:line;mso-position-horizontal-relative:char;width:9.65pt;height:9.65pt;" filled="false" stroked="false" coordsize="192,192" coordorigin="0,0">
                  <v:shape id="_x0000_s26" style="position:absolute;left:0;top:0;width:192;height:192;" filled="false" stroked="false" type="#_x0000_t75">
                    <v:imagedata o:title="" r:id="rId36"/>
                  </v:shape>
                  <v:shape id="_x0000_s28" style="position:absolute;left:-20;top:-20;width:232;height:23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85"/>
                            <w:spacing w:before="65" w:line="179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0" w:hRule="atLeast"/>
        </w:trPr>
        <w:tc>
          <w:tcPr>
            <w:tcW w:w="10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  <w:tcBorders>
              <w:right w:val="nil"/>
              <w:top w:val="nil"/>
            </w:tcBorders>
          </w:tcPr>
          <w:p>
            <w:pPr>
              <w:pStyle w:val="TableText"/>
              <w:ind w:firstLine="123"/>
              <w:spacing w:before="160" w:line="424" w:lineRule="exact"/>
              <w:rPr/>
            </w:pPr>
            <w:r>
              <w:rPr>
                <w:position w:val="-8"/>
              </w:rPr>
              <w:pict>
                <v:group id="_x0000_s30" style="mso-position-vertical-relative:line;mso-position-horizontal-relative:char;width:9.65pt;height:21.25pt;" filled="false" stroked="false" coordsize="192,425" coordorigin="0,0">
                  <v:shape id="_x0000_s32" style="position:absolute;left:0;top:0;width:192;height:425;" filled="false" stroked="false" type="#_x0000_t75">
                    <v:imagedata o:title="" r:id="rId37"/>
                  </v:shape>
                  <v:shape id="_x0000_s34" style="position:absolute;left:-20;top:-20;width:232;height:46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4"/>
                            <w:spacing w:before="63" w:line="178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5</w:t>
                          </w:r>
                        </w:p>
                        <w:p>
                          <w:pPr>
                            <w:ind w:left="89"/>
                            <w:spacing w:before="57" w:line="178" w:lineRule="exact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position w:val="1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6" w:h="16840"/>
          <w:pgMar w:top="997" w:right="1473" w:bottom="908" w:left="1473" w:header="568" w:footer="757" w:gutter="0"/>
        </w:sectPr>
        <w:rPr/>
      </w:pPr>
    </w:p>
    <w:p>
      <w:pPr>
        <w:spacing w:before="200"/>
        <w:rPr/>
      </w:pPr>
      <w:r/>
    </w:p>
    <w:tbl>
      <w:tblPr>
        <w:tblStyle w:val="TableNormal"/>
        <w:tblW w:w="8625" w:type="dxa"/>
        <w:tblInd w:w="30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0"/>
        <w:gridCol w:w="1198"/>
        <w:gridCol w:w="1198"/>
        <w:gridCol w:w="3521"/>
        <w:gridCol w:w="2088"/>
      </w:tblGrid>
      <w:tr>
        <w:trPr>
          <w:trHeight w:val="547" w:hRule="atLeast"/>
        </w:trPr>
        <w:tc>
          <w:tcPr>
            <w:shd w:val="clear" w:fill="003399"/>
            <w:tcW w:w="620" w:type="dxa"/>
            <w:vAlign w:val="top"/>
          </w:tcPr>
          <w:p>
            <w:pPr>
              <w:pStyle w:val="TableText"/>
              <w:ind w:left="103" w:right="99" w:firstLine="3"/>
              <w:spacing w:before="32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color w:val="FFFFFF"/>
                <w:spacing w:val="2"/>
              </w:rPr>
              <w:t>行为</w:t>
            </w:r>
            <w:r>
              <w:rPr>
                <w:sz w:val="20"/>
                <w:szCs w:val="20"/>
                <w:b/>
                <w:bCs/>
                <w:color w:val="FFFFFF"/>
                <w:spacing w:val="3"/>
              </w:rPr>
              <w:t>类型</w:t>
            </w:r>
          </w:p>
        </w:tc>
        <w:tc>
          <w:tcPr>
            <w:shd w:val="clear" w:fill="003399"/>
            <w:tcW w:w="1198" w:type="dxa"/>
            <w:vAlign w:val="top"/>
          </w:tcPr>
          <w:p>
            <w:pPr>
              <w:pStyle w:val="TableText"/>
              <w:ind w:left="182"/>
              <w:spacing w:before="16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color w:val="FFFFFF"/>
                <w:spacing w:val="6"/>
              </w:rPr>
              <w:t>监督对象</w:t>
            </w:r>
          </w:p>
        </w:tc>
        <w:tc>
          <w:tcPr>
            <w:shd w:val="clear" w:fill="003399"/>
            <w:tcW w:w="1198" w:type="dxa"/>
            <w:vAlign w:val="top"/>
          </w:tcPr>
          <w:p>
            <w:pPr>
              <w:pStyle w:val="TableText"/>
              <w:ind w:left="182"/>
              <w:spacing w:before="166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color w:val="FFFFFF"/>
                <w:spacing w:val="6"/>
              </w:rPr>
              <w:t>监督部门</w:t>
            </w:r>
          </w:p>
        </w:tc>
        <w:tc>
          <w:tcPr>
            <w:shd w:val="clear" w:fill="003399"/>
            <w:tcW w:w="3521" w:type="dxa"/>
            <w:vAlign w:val="top"/>
          </w:tcPr>
          <w:p>
            <w:pPr>
              <w:pStyle w:val="TableText"/>
              <w:ind w:left="1028"/>
              <w:spacing w:before="16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color w:val="FFFFFF"/>
                <w:spacing w:val="7"/>
              </w:rPr>
              <w:t>测量方法与过程</w:t>
            </w:r>
          </w:p>
        </w:tc>
        <w:tc>
          <w:tcPr>
            <w:shd w:val="clear" w:fill="003399"/>
            <w:tcW w:w="2088" w:type="dxa"/>
            <w:vAlign w:val="top"/>
          </w:tcPr>
          <w:p>
            <w:pPr>
              <w:pStyle w:val="TableText"/>
              <w:ind w:left="630"/>
              <w:spacing w:before="16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color w:val="FFFFFF"/>
                <w:spacing w:val="6"/>
              </w:rPr>
              <w:t>测量指标</w:t>
            </w:r>
          </w:p>
        </w:tc>
      </w:tr>
      <w:tr>
        <w:trPr>
          <w:trHeight w:val="816" w:hRule="atLeast"/>
        </w:trPr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 w:right="102" w:hanging="21"/>
              <w:spacing w:before="65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企业</w:t>
            </w:r>
            <w:r>
              <w:rPr>
                <w:sz w:val="20"/>
                <w:szCs w:val="20"/>
                <w:spacing w:val="-8"/>
              </w:rPr>
              <w:t>内部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187"/>
              <w:spacing w:before="300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高层领导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91"/>
              <w:spacing w:before="301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董事会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89"/>
              <w:spacing w:before="2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董事会审核公司销售、财务，遵纪守</w:t>
            </w:r>
          </w:p>
          <w:p>
            <w:pPr>
              <w:pStyle w:val="TableText"/>
              <w:ind w:left="88"/>
              <w:spacing w:before="27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法、信息真实，以《公司法》为准绳</w:t>
            </w:r>
          </w:p>
          <w:p>
            <w:pPr>
              <w:pStyle w:val="TableText"/>
              <w:ind w:left="524"/>
              <w:spacing w:before="24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,</w:t>
            </w:r>
            <w:r>
              <w:rPr>
                <w:sz w:val="20"/>
                <w:szCs w:val="20"/>
                <w:spacing w:val="70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合法生产，合法经营等。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111" w:right="95" w:hanging="2"/>
              <w:spacing w:before="163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企业利润、安全、领</w:t>
            </w:r>
            <w:r>
              <w:rPr>
                <w:sz w:val="20"/>
                <w:szCs w:val="20"/>
                <w:spacing w:val="8"/>
              </w:rPr>
              <w:t>导能力的纵向评议等</w:t>
            </w:r>
          </w:p>
        </w:tc>
      </w:tr>
      <w:tr>
        <w:trPr>
          <w:trHeight w:val="543" w:hRule="atLeast"/>
        </w:trPr>
        <w:tc>
          <w:tcPr>
            <w:tcW w:w="6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295" w:right="73" w:hanging="197"/>
              <w:spacing w:before="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中层干部职</w:t>
            </w:r>
            <w:r>
              <w:rPr>
                <w:sz w:val="20"/>
                <w:szCs w:val="20"/>
                <w:spacing w:val="4"/>
              </w:rPr>
              <w:t>能部门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521" w:right="74" w:hanging="441"/>
              <w:spacing w:before="30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工会上级部</w:t>
            </w:r>
            <w:r>
              <w:rPr>
                <w:sz w:val="20"/>
                <w:szCs w:val="20"/>
              </w:rPr>
              <w:t>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41" w:right="8" w:hanging="12"/>
              <w:spacing w:line="246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  <w:spacing w:val="-28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、内部审计；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spacing w:val="-31"/>
              </w:rPr>
              <w:t xml:space="preserve"> </w:t>
            </w:r>
            <w:r>
              <w:rPr>
                <w:sz w:val="20"/>
                <w:szCs w:val="20"/>
                <w:spacing w:val="5"/>
              </w:rPr>
              <w:t>、意见箱投诉举报；</w:t>
            </w:r>
            <w:r>
              <w:rPr>
                <w:rFonts w:ascii="Arial" w:hAnsi="Arial" w:eastAsia="Arial" w:cs="Arial"/>
                <w:sz w:val="20"/>
                <w:szCs w:val="20"/>
                <w:spacing w:val="5"/>
              </w:rPr>
              <w:t>3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、中层干部培训；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4</w:t>
            </w:r>
            <w:r>
              <w:rPr>
                <w:rFonts w:ascii="Arial" w:hAnsi="Arial" w:eastAsia="Arial" w:cs="Arial"/>
                <w:sz w:val="20"/>
                <w:szCs w:val="20"/>
                <w:spacing w:val="-27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、违法乱纪纪录。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424"/>
              <w:spacing w:before="163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绩效考核得分</w:t>
            </w:r>
          </w:p>
        </w:tc>
      </w:tr>
      <w:tr>
        <w:trPr>
          <w:trHeight w:val="1906" w:hRule="atLeast"/>
        </w:trPr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65"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员工</w:t>
            </w:r>
          </w:p>
        </w:tc>
        <w:tc>
          <w:tcPr>
            <w:tcW w:w="11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综合部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89"/>
              <w:spacing w:before="31" w:line="216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1</w:t>
            </w:r>
            <w:r>
              <w:rPr>
                <w:sz w:val="20"/>
                <w:szCs w:val="20"/>
                <w:spacing w:val="6"/>
              </w:rPr>
              <w:t>、科学地选拔领导与员工；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spacing w:val="-23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、积极</w:t>
            </w:r>
          </w:p>
          <w:p>
            <w:pPr>
              <w:pStyle w:val="TableText"/>
              <w:ind w:left="28"/>
              <w:spacing w:line="28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  <w:position w:val="1"/>
              </w:rPr>
              <w:t>开展员工的定期培训；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  <w:position w:val="1"/>
              </w:rPr>
              <w:t>3</w:t>
            </w:r>
            <w:r>
              <w:rPr>
                <w:rFonts w:ascii="Arial" w:hAnsi="Arial" w:eastAsia="Arial" w:cs="Arial"/>
                <w:sz w:val="20"/>
                <w:szCs w:val="20"/>
                <w:spacing w:val="-21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7"/>
                <w:position w:val="1"/>
              </w:rPr>
              <w:t>、加强道德培</w:t>
            </w:r>
          </w:p>
          <w:p>
            <w:pPr>
              <w:pStyle w:val="TableText"/>
              <w:ind w:left="29"/>
              <w:spacing w:before="2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训，提高员工的素质等；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4</w:t>
            </w:r>
            <w:r>
              <w:rPr>
                <w:sz w:val="20"/>
                <w:szCs w:val="20"/>
                <w:spacing w:val="9"/>
              </w:rPr>
              <w:t>、制定《员</w:t>
            </w:r>
          </w:p>
          <w:p>
            <w:pPr>
              <w:pStyle w:val="TableText"/>
              <w:ind w:left="89"/>
              <w:spacing w:before="2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工道德行为规范》，并进行轮训、学</w:t>
            </w:r>
          </w:p>
          <w:p>
            <w:pPr>
              <w:pStyle w:val="TableText"/>
              <w:ind w:left="89"/>
              <w:spacing w:line="28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  <w:position w:val="1"/>
              </w:rPr>
              <w:t>习；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  <w:position w:val="1"/>
              </w:rPr>
              <w:t>5</w:t>
            </w:r>
            <w:r>
              <w:rPr>
                <w:sz w:val="20"/>
                <w:szCs w:val="20"/>
                <w:spacing w:val="6"/>
                <w:position w:val="1"/>
              </w:rPr>
              <w:t>、开展评先进活动；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  <w:position w:val="1"/>
              </w:rPr>
              <w:t>6</w:t>
            </w:r>
            <w:r>
              <w:rPr>
                <w:rFonts w:ascii="Arial" w:hAnsi="Arial" w:eastAsia="Arial" w:cs="Arial"/>
                <w:sz w:val="20"/>
                <w:szCs w:val="20"/>
                <w:spacing w:val="-32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6"/>
                <w:position w:val="1"/>
              </w:rPr>
              <w:t>、制订《</w:t>
            </w:r>
          </w:p>
          <w:p>
            <w:pPr>
              <w:pStyle w:val="TableText"/>
              <w:ind w:left="95"/>
              <w:spacing w:before="24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0"/>
              </w:rPr>
              <w:t>员工手册》《公司章程》，开展、岗</w:t>
            </w:r>
          </w:p>
          <w:p>
            <w:pPr>
              <w:pStyle w:val="TableText"/>
              <w:ind w:left="1245"/>
              <w:spacing w:before="28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前培训等。</w:t>
            </w:r>
          </w:p>
        </w:tc>
        <w:tc>
          <w:tcPr>
            <w:tcW w:w="20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95" w:firstLine="5"/>
              <w:spacing w:before="65" w:line="25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实行职工代表大会制</w:t>
            </w:r>
            <w:r>
              <w:rPr>
                <w:sz w:val="20"/>
                <w:szCs w:val="20"/>
                <w:spacing w:val="9"/>
              </w:rPr>
              <w:t>度，调查员工满意度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,</w:t>
            </w:r>
            <w:r>
              <w:rPr>
                <w:sz w:val="20"/>
                <w:szCs w:val="20"/>
                <w:spacing w:val="67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员工培训时间等</w:t>
            </w:r>
          </w:p>
        </w:tc>
      </w:tr>
      <w:tr>
        <w:trPr>
          <w:trHeight w:val="2178" w:hRule="atLeast"/>
        </w:trPr>
        <w:tc>
          <w:tcPr>
            <w:tcW w:w="62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02" w:firstLine="1"/>
              <w:spacing w:before="65" w:line="25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企业</w:t>
            </w:r>
            <w:r>
              <w:rPr>
                <w:sz w:val="20"/>
                <w:szCs w:val="20"/>
                <w:spacing w:val="3"/>
              </w:rPr>
              <w:t>之间</w:t>
            </w:r>
          </w:p>
        </w:tc>
        <w:tc>
          <w:tcPr>
            <w:tcW w:w="11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2" w:right="73" w:hanging="424"/>
              <w:spacing w:before="65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供应商经销</w:t>
            </w:r>
            <w:r>
              <w:rPr>
                <w:sz w:val="20"/>
                <w:szCs w:val="20"/>
              </w:rPr>
              <w:t>商</w:t>
            </w:r>
          </w:p>
        </w:tc>
        <w:tc>
          <w:tcPr>
            <w:tcW w:w="119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业务部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41"/>
              <w:spacing w:before="30" w:line="228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  <w:spacing w:val="-18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、严格按照公司制定的《产品和服务</w:t>
            </w:r>
          </w:p>
          <w:p>
            <w:pPr>
              <w:pStyle w:val="TableText"/>
              <w:ind w:left="88"/>
              <w:spacing w:before="26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要求控制程序》、《采购管理制度》</w:t>
            </w:r>
          </w:p>
          <w:p>
            <w:pPr>
              <w:pStyle w:val="TableText"/>
              <w:ind w:left="89"/>
              <w:spacing w:before="2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等规章制度与供应商和客户展开业务</w:t>
            </w:r>
          </w:p>
          <w:p>
            <w:pPr>
              <w:pStyle w:val="TableText"/>
              <w:ind w:left="30"/>
              <w:spacing w:before="27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关系；</w:t>
            </w:r>
            <w:r>
              <w:rPr>
                <w:rFonts w:ascii="Arial" w:hAnsi="Arial" w:eastAsia="Arial" w:cs="Arial"/>
                <w:sz w:val="20"/>
                <w:szCs w:val="20"/>
                <w:spacing w:val="8"/>
              </w:rPr>
              <w:t>2</w:t>
            </w:r>
            <w:r>
              <w:rPr>
                <w:sz w:val="20"/>
                <w:szCs w:val="20"/>
                <w:spacing w:val="8"/>
              </w:rPr>
              <w:t>、价格适中、交货准时、产品</w:t>
            </w:r>
          </w:p>
          <w:p>
            <w:pPr>
              <w:pStyle w:val="TableText"/>
              <w:ind w:left="28"/>
              <w:spacing w:line="28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  <w:position w:val="1"/>
              </w:rPr>
              <w:t>质量稳定、及时交付；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  <w:position w:val="1"/>
              </w:rPr>
              <w:t>3</w:t>
            </w:r>
            <w:r>
              <w:rPr>
                <w:rFonts w:ascii="Arial" w:hAnsi="Arial" w:eastAsia="Arial" w:cs="Arial"/>
                <w:sz w:val="20"/>
                <w:szCs w:val="20"/>
                <w:spacing w:val="-21"/>
                <w:position w:val="1"/>
              </w:rPr>
              <w:t xml:space="preserve"> </w:t>
            </w:r>
            <w:r>
              <w:rPr>
                <w:sz w:val="20"/>
                <w:szCs w:val="20"/>
                <w:spacing w:val="7"/>
                <w:position w:val="1"/>
              </w:rPr>
              <w:t>、加强产品质</w:t>
            </w:r>
          </w:p>
          <w:p>
            <w:pPr>
              <w:pStyle w:val="TableText"/>
              <w:ind w:left="87"/>
              <w:spacing w:before="24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量控制，提高优质产品，及时应对顾</w:t>
            </w:r>
          </w:p>
          <w:p>
            <w:pPr>
              <w:pStyle w:val="TableText"/>
              <w:ind w:left="29"/>
              <w:spacing w:before="2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客投诉等；</w:t>
            </w:r>
            <w:r>
              <w:rPr>
                <w:rFonts w:ascii="Arial" w:hAnsi="Arial" w:eastAsia="Arial" w:cs="Arial"/>
                <w:sz w:val="20"/>
                <w:szCs w:val="20"/>
                <w:spacing w:val="9"/>
              </w:rPr>
              <w:t>4</w:t>
            </w:r>
            <w:r>
              <w:rPr>
                <w:sz w:val="20"/>
                <w:szCs w:val="20"/>
                <w:spacing w:val="9"/>
              </w:rPr>
              <w:t>、在采购上实行公开、公</w:t>
            </w:r>
          </w:p>
          <w:p>
            <w:pPr>
              <w:pStyle w:val="TableText"/>
              <w:ind w:left="434"/>
              <w:spacing w:before="25" w:line="21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平、公正的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“</w:t>
            </w:r>
            <w:r>
              <w:rPr>
                <w:sz w:val="20"/>
                <w:szCs w:val="20"/>
                <w:spacing w:val="7"/>
              </w:rPr>
              <w:t>招标采购</w:t>
            </w:r>
            <w:r>
              <w:rPr>
                <w:rFonts w:ascii="Arial" w:hAnsi="Arial" w:eastAsia="Arial" w:cs="Arial"/>
                <w:sz w:val="20"/>
                <w:szCs w:val="20"/>
                <w:spacing w:val="7"/>
              </w:rPr>
              <w:t>”</w:t>
            </w:r>
            <w:r>
              <w:rPr>
                <w:sz w:val="20"/>
                <w:szCs w:val="20"/>
                <w:spacing w:val="7"/>
              </w:rPr>
              <w:t>制度。</w:t>
            </w:r>
          </w:p>
        </w:tc>
        <w:tc>
          <w:tcPr>
            <w:tcW w:w="208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right="95" w:hanging="102"/>
              <w:spacing w:before="65"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合同违约率，索赔金</w:t>
            </w:r>
            <w:r>
              <w:rPr>
                <w:sz w:val="20"/>
                <w:szCs w:val="20"/>
                <w:spacing w:val="8"/>
              </w:rPr>
              <w:t>额，顾客满意度等</w:t>
            </w:r>
          </w:p>
        </w:tc>
      </w:tr>
      <w:tr>
        <w:trPr>
          <w:trHeight w:val="544" w:hRule="atLeast"/>
        </w:trPr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2"/>
              <w:spacing w:before="65"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企业</w:t>
            </w:r>
            <w:r>
              <w:rPr>
                <w:sz w:val="20"/>
                <w:szCs w:val="20"/>
                <w:spacing w:val="2"/>
              </w:rPr>
              <w:t>外部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392"/>
              <w:spacing w:before="1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股东</w:t>
            </w:r>
          </w:p>
        </w:tc>
        <w:tc>
          <w:tcPr>
            <w:tcW w:w="1198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财务部</w:t>
            </w:r>
          </w:p>
        </w:tc>
        <w:tc>
          <w:tcPr>
            <w:tcW w:w="3521" w:type="dxa"/>
            <w:vAlign w:val="top"/>
          </w:tcPr>
          <w:p>
            <w:pPr>
              <w:pStyle w:val="TableText"/>
              <w:ind w:left="97" w:right="79" w:hanging="8"/>
              <w:spacing w:before="3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9"/>
              </w:rPr>
              <w:t>按照上市公司要求确保信息披露的及</w:t>
            </w:r>
            <w:r>
              <w:rPr>
                <w:sz w:val="20"/>
                <w:szCs w:val="20"/>
                <w:spacing w:val="8"/>
              </w:rPr>
              <w:t>时性和透明性，接受股东及公众监督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633" w:right="95" w:hanging="526"/>
              <w:spacing w:before="31" w:line="23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重大信息披露及时性</w:t>
            </w:r>
            <w:r>
              <w:rPr>
                <w:sz w:val="20"/>
                <w:szCs w:val="20"/>
                <w:spacing w:val="6"/>
              </w:rPr>
              <w:t>与准确性</w:t>
            </w:r>
          </w:p>
        </w:tc>
      </w:tr>
      <w:tr>
        <w:trPr>
          <w:trHeight w:val="816" w:hRule="atLeast"/>
        </w:trPr>
        <w:tc>
          <w:tcPr>
            <w:tcW w:w="6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392"/>
              <w:spacing w:before="305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政府</w:t>
            </w:r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89"/>
              <w:spacing w:before="32" w:line="227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1</w:t>
            </w:r>
            <w:r>
              <w:rPr>
                <w:sz w:val="20"/>
                <w:szCs w:val="20"/>
                <w:spacing w:val="6"/>
              </w:rPr>
              <w:t>、依法纳税、廉洁自律；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spacing w:val="-25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、严格按</w:t>
            </w:r>
          </w:p>
          <w:p>
            <w:pPr>
              <w:pStyle w:val="TableText"/>
              <w:ind w:left="93"/>
              <w:spacing w:before="27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照国家的税法、会计法等法律法规进</w:t>
            </w:r>
          </w:p>
          <w:p>
            <w:pPr>
              <w:pStyle w:val="TableText"/>
              <w:ind w:left="1245"/>
              <w:spacing w:before="25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行操作等。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528"/>
              <w:spacing w:before="305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纳税金额等</w:t>
            </w:r>
          </w:p>
        </w:tc>
      </w:tr>
      <w:tr>
        <w:trPr>
          <w:trHeight w:val="273" w:hRule="atLeast"/>
        </w:trPr>
        <w:tc>
          <w:tcPr>
            <w:tcW w:w="6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393"/>
              <w:spacing w:before="34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银行</w:t>
            </w:r>
          </w:p>
        </w:tc>
        <w:tc>
          <w:tcPr>
            <w:tcW w:w="1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427"/>
              <w:spacing w:before="34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内部及外来会计事务所审计。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424"/>
              <w:spacing w:before="34" w:line="21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账本的准确度</w:t>
            </w:r>
          </w:p>
        </w:tc>
      </w:tr>
      <w:tr>
        <w:trPr>
          <w:trHeight w:val="546" w:hRule="atLeast"/>
        </w:trPr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ind w:left="183"/>
              <w:spacing w:before="169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社会公众</w:t>
            </w:r>
          </w:p>
        </w:tc>
        <w:tc>
          <w:tcPr>
            <w:tcW w:w="11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1" w:type="dxa"/>
            <w:vAlign w:val="top"/>
          </w:tcPr>
          <w:p>
            <w:pPr>
              <w:pStyle w:val="TableText"/>
              <w:ind w:left="89"/>
              <w:spacing w:before="32" w:line="228" w:lineRule="auto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1</w:t>
            </w:r>
            <w:r>
              <w:rPr>
                <w:sz w:val="20"/>
                <w:szCs w:val="20"/>
                <w:spacing w:val="6"/>
              </w:rPr>
              <w:t>、诚信经营、保护公众利益；</w:t>
            </w:r>
            <w:r>
              <w:rPr>
                <w:rFonts w:ascii="Arial" w:hAnsi="Arial" w:eastAsia="Arial" w:cs="Arial"/>
                <w:sz w:val="20"/>
                <w:szCs w:val="20"/>
                <w:spacing w:val="6"/>
              </w:rPr>
              <w:t>2</w:t>
            </w:r>
            <w:r>
              <w:rPr>
                <w:rFonts w:ascii="Arial" w:hAnsi="Arial" w:eastAsia="Arial" w:cs="Arial"/>
                <w:sz w:val="20"/>
                <w:szCs w:val="20"/>
                <w:spacing w:val="-25"/>
              </w:rPr>
              <w:t xml:space="preserve"> </w:t>
            </w:r>
            <w:r>
              <w:rPr>
                <w:sz w:val="20"/>
                <w:szCs w:val="20"/>
                <w:spacing w:val="6"/>
              </w:rPr>
              <w:t>、开</w:t>
            </w:r>
          </w:p>
          <w:p>
            <w:pPr>
              <w:pStyle w:val="TableText"/>
              <w:ind w:left="509"/>
              <w:spacing w:before="27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展清洁生产，保护环境等。</w:t>
            </w:r>
          </w:p>
        </w:tc>
        <w:tc>
          <w:tcPr>
            <w:tcW w:w="2088" w:type="dxa"/>
            <w:vAlign w:val="top"/>
          </w:tcPr>
          <w:p>
            <w:pPr>
              <w:pStyle w:val="TableText"/>
              <w:ind w:left="525"/>
              <w:spacing w:before="169"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捐赠金额等</w:t>
            </w:r>
          </w:p>
        </w:tc>
      </w:tr>
    </w:tbl>
    <w:p>
      <w:pPr>
        <w:ind w:left="178" w:right="170" w:firstLine="488"/>
        <w:spacing w:before="136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公司以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SimSun" w:hAnsi="SimSun" w:eastAsia="SimSun" w:cs="SimSun"/>
          <w:sz w:val="24"/>
          <w:szCs w:val="24"/>
        </w:rPr>
        <w:t>诚信廉洁、坚持创新、友好合作、无私奉</w:t>
      </w:r>
      <w:r>
        <w:rPr>
          <w:rFonts w:ascii="SimSun" w:hAnsi="SimSun" w:eastAsia="SimSun" w:cs="SimSun"/>
          <w:sz w:val="24"/>
          <w:szCs w:val="24"/>
          <w:spacing w:val="-1"/>
        </w:rPr>
        <w:t>献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SimSun" w:hAnsi="SimSun" w:eastAsia="SimSun" w:cs="SimSun"/>
          <w:sz w:val="24"/>
          <w:szCs w:val="24"/>
          <w:spacing w:val="-1"/>
        </w:rPr>
        <w:t>为核心价值观，在发展过</w:t>
      </w:r>
      <w:r>
        <w:rPr>
          <w:rFonts w:ascii="SimSun" w:hAnsi="SimSun" w:eastAsia="SimSun" w:cs="SimSun"/>
          <w:sz w:val="24"/>
          <w:szCs w:val="24"/>
          <w:spacing w:val="6"/>
        </w:rPr>
        <w:t>程中坚持和倡导诚信，强调诚信经营、诚信品质、诚信纳税、诚信守法，切</w:t>
      </w:r>
      <w:r>
        <w:rPr>
          <w:rFonts w:ascii="SimSun" w:hAnsi="SimSun" w:eastAsia="SimSun" w:cs="SimSun"/>
          <w:sz w:val="24"/>
          <w:szCs w:val="24"/>
          <w:spacing w:val="5"/>
        </w:rPr>
        <w:t>实履</w:t>
      </w:r>
      <w:r>
        <w:rPr>
          <w:rFonts w:ascii="SimSun" w:hAnsi="SimSun" w:eastAsia="SimSun" w:cs="SimSun"/>
          <w:sz w:val="24"/>
          <w:szCs w:val="24"/>
          <w:spacing w:val="6"/>
        </w:rPr>
        <w:t>行法律法规和道德规范。公司对客户诚信，以顾客为导向，注重做好产品销</w:t>
      </w:r>
      <w:r>
        <w:rPr>
          <w:rFonts w:ascii="SimSun" w:hAnsi="SimSun" w:eastAsia="SimSun" w:cs="SimSun"/>
          <w:sz w:val="24"/>
          <w:szCs w:val="24"/>
          <w:spacing w:val="5"/>
        </w:rPr>
        <w:t>售与</w:t>
      </w:r>
      <w:r>
        <w:rPr>
          <w:rFonts w:ascii="SimSun" w:hAnsi="SimSun" w:eastAsia="SimSun" w:cs="SimSun"/>
          <w:sz w:val="24"/>
          <w:szCs w:val="24"/>
          <w:spacing w:val="6"/>
        </w:rPr>
        <w:t>售后服务，赢得了客户的信任、支持和肯定；公司对员工诚信，在工作、生</w:t>
      </w:r>
      <w:r>
        <w:rPr>
          <w:rFonts w:ascii="SimSun" w:hAnsi="SimSun" w:eastAsia="SimSun" w:cs="SimSun"/>
          <w:sz w:val="24"/>
          <w:szCs w:val="24"/>
          <w:spacing w:val="5"/>
        </w:rPr>
        <w:t>活等</w:t>
      </w:r>
      <w:r>
        <w:rPr>
          <w:rFonts w:ascii="SimSun" w:hAnsi="SimSun" w:eastAsia="SimSun" w:cs="SimSun"/>
          <w:sz w:val="24"/>
          <w:szCs w:val="24"/>
        </w:rPr>
        <w:t>方面身体力行关爱员工，提高员工满意度。公司合同履约率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100%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，确保与合作伙</w:t>
      </w:r>
      <w:r>
        <w:rPr>
          <w:rFonts w:ascii="SimSun" w:hAnsi="SimSun" w:eastAsia="SimSun" w:cs="SimSun"/>
          <w:sz w:val="24"/>
          <w:szCs w:val="24"/>
          <w:spacing w:val="-1"/>
        </w:rPr>
        <w:t>伴建立健康、规范的良好合作关系，打造信用企业。</w:t>
      </w:r>
    </w:p>
    <w:p>
      <w:pPr>
        <w:ind w:left="178" w:right="170" w:firstLine="480"/>
        <w:spacing w:before="93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4"/>
        </w:rPr>
        <w:t>通过诚信经营，公司先后获得政府、客户认可，受到了顾客、供应商、政</w:t>
      </w:r>
      <w:r>
        <w:rPr>
          <w:rFonts w:ascii="SimSun" w:hAnsi="SimSun" w:eastAsia="SimSun" w:cs="SimSun"/>
          <w:sz w:val="24"/>
          <w:szCs w:val="24"/>
          <w:spacing w:val="6"/>
        </w:rPr>
        <w:t>府、工商、税务、银行等部门的广泛好评。为确保内部运行符合道德要求，</w:t>
      </w:r>
      <w:r>
        <w:rPr>
          <w:rFonts w:ascii="SimSun" w:hAnsi="SimSun" w:eastAsia="SimSun" w:cs="SimSun"/>
          <w:sz w:val="24"/>
          <w:szCs w:val="24"/>
          <w:spacing w:val="5"/>
        </w:rPr>
        <w:t>公司</w:t>
      </w:r>
      <w:r>
        <w:rPr>
          <w:rFonts w:ascii="SimSun" w:hAnsi="SimSun" w:eastAsia="SimSun" w:cs="SimSun"/>
          <w:sz w:val="24"/>
          <w:szCs w:val="24"/>
          <w:spacing w:val="-1"/>
        </w:rPr>
        <w:t>制定了道德行为测量指标与方法。如下表：</w:t>
      </w:r>
    </w:p>
    <w:p>
      <w:pPr>
        <w:ind w:left="3295"/>
        <w:spacing w:before="234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公司道德行为监测体系</w:t>
      </w:r>
    </w:p>
    <w:p>
      <w:pPr>
        <w:spacing w:line="220" w:lineRule="auto"/>
        <w:sectPr>
          <w:pgSz w:w="11906" w:h="16840"/>
          <w:pgMar w:top="997" w:right="1473" w:bottom="908" w:left="1473" w:header="568" w:footer="75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76" w:right="170" w:firstLine="482"/>
        <w:spacing w:before="78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在质量安全方面，公司本着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</w:t>
      </w:r>
      <w:r>
        <w:rPr>
          <w:rFonts w:ascii="SimSun" w:hAnsi="SimSun" w:eastAsia="SimSun" w:cs="SimSun"/>
          <w:sz w:val="24"/>
          <w:szCs w:val="24"/>
          <w:spacing w:val="-1"/>
        </w:rPr>
        <w:t>质量稳定、优质服务、持续改进、顾客满意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的质</w:t>
      </w:r>
      <w:r>
        <w:rPr>
          <w:rFonts w:ascii="SimSun" w:hAnsi="SimSun" w:eastAsia="SimSun" w:cs="SimSun"/>
          <w:sz w:val="24"/>
          <w:szCs w:val="24"/>
          <w:spacing w:val="16"/>
        </w:rPr>
        <w:t>量方针</w:t>
      </w:r>
      <w:r>
        <w:rPr>
          <w:rFonts w:ascii="SimSun" w:hAnsi="SimSun" w:eastAsia="SimSun" w:cs="SimSun"/>
          <w:sz w:val="24"/>
          <w:szCs w:val="24"/>
          <w:spacing w:val="-5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，积极履行质量安全职责</w:t>
      </w:r>
      <w:r>
        <w:rPr>
          <w:rFonts w:ascii="SimSun" w:hAnsi="SimSun" w:eastAsia="SimSun" w:cs="SimSun"/>
          <w:sz w:val="24"/>
          <w:szCs w:val="24"/>
          <w:spacing w:val="-7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，严格执行行业标准和法律法规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6"/>
        </w:rPr>
        <w:t>，定期通过</w:t>
      </w:r>
      <w:r>
        <w:rPr>
          <w:rFonts w:ascii="Times New Roman" w:hAnsi="Times New Roman" w:eastAsia="Times New Roman" w:cs="Times New Roman"/>
          <w:sz w:val="24"/>
          <w:szCs w:val="24"/>
        </w:rPr>
        <w:t>IATF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16949:2016 </w:t>
      </w:r>
      <w:r>
        <w:rPr>
          <w:rFonts w:ascii="SimSun" w:hAnsi="SimSun" w:eastAsia="SimSun" w:cs="SimSun"/>
          <w:sz w:val="24"/>
          <w:szCs w:val="24"/>
          <w:spacing w:val="4"/>
        </w:rPr>
        <w:t>汽车质量管理体系认证复审，建立健全公司的</w:t>
      </w:r>
      <w:r>
        <w:rPr>
          <w:rFonts w:ascii="SimSun" w:hAnsi="SimSun" w:eastAsia="SimSun" w:cs="SimSun"/>
          <w:sz w:val="24"/>
          <w:szCs w:val="24"/>
          <w:spacing w:val="3"/>
        </w:rPr>
        <w:t>质量管理体系和质</w:t>
      </w:r>
      <w:r>
        <w:rPr>
          <w:rFonts w:ascii="SimSun" w:hAnsi="SimSun" w:eastAsia="SimSun" w:cs="SimSun"/>
          <w:sz w:val="24"/>
          <w:szCs w:val="24"/>
          <w:spacing w:val="6"/>
        </w:rPr>
        <w:t>量保证体系，使百瑞的质量管理和质量保证体系与国际接轨。公司始终坚信优越</w:t>
      </w:r>
      <w:r>
        <w:rPr>
          <w:rFonts w:ascii="SimSun" w:hAnsi="SimSun" w:eastAsia="SimSun" w:cs="SimSun"/>
          <w:sz w:val="24"/>
          <w:szCs w:val="24"/>
          <w:spacing w:val="6"/>
        </w:rPr>
        <w:t>的性能和可靠的产品质量是产品竞争力的关键。质量形成于产品寿命周期的全过</w:t>
      </w:r>
      <w:r>
        <w:rPr>
          <w:rFonts w:ascii="SimSun" w:hAnsi="SimSun" w:eastAsia="SimSun" w:cs="SimSun"/>
          <w:sz w:val="24"/>
          <w:szCs w:val="24"/>
          <w:spacing w:val="6"/>
        </w:rPr>
        <w:t>程，包括研究设计、试制、试验、制造、分销、服务和使用全过程。因此，必须</w:t>
      </w:r>
      <w:r>
        <w:rPr>
          <w:rFonts w:ascii="SimSun" w:hAnsi="SimSun" w:eastAsia="SimSun" w:cs="SimSun"/>
          <w:sz w:val="24"/>
          <w:szCs w:val="24"/>
          <w:spacing w:val="6"/>
        </w:rPr>
        <w:t>对产品寿命周期全过程中影响产品质量的各种因素，始终处于受控状态；必须实</w:t>
      </w:r>
      <w:r>
        <w:rPr>
          <w:rFonts w:ascii="SimSun" w:hAnsi="SimSun" w:eastAsia="SimSun" w:cs="SimSun"/>
          <w:sz w:val="24"/>
          <w:szCs w:val="24"/>
          <w:spacing w:val="6"/>
        </w:rPr>
        <w:t>行全流程的、全员参加的全面质量管理，使公司有能力持续提供符合质量标准和</w:t>
      </w:r>
      <w:r>
        <w:rPr>
          <w:rFonts w:ascii="SimSun" w:hAnsi="SimSun" w:eastAsia="SimSun" w:cs="SimSun"/>
          <w:sz w:val="24"/>
          <w:szCs w:val="24"/>
        </w:rPr>
        <w:t>顾客满意的产品，树立品质超群的企业形象，全心全</w:t>
      </w:r>
      <w:r>
        <w:rPr>
          <w:rFonts w:ascii="SimSun" w:hAnsi="SimSun" w:eastAsia="SimSun" w:cs="SimSun"/>
          <w:sz w:val="24"/>
          <w:szCs w:val="24"/>
          <w:spacing w:val="-1"/>
        </w:rPr>
        <w:t>意地为顾客服务。</w:t>
      </w:r>
    </w:p>
    <w:p>
      <w:pPr>
        <w:ind w:left="658"/>
        <w:spacing w:before="95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在环境保护上，百瑞一直以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</w:t>
      </w:r>
      <w:r>
        <w:rPr>
          <w:rFonts w:ascii="SimSun" w:hAnsi="SimSun" w:eastAsia="SimSun" w:cs="SimSun"/>
          <w:sz w:val="24"/>
          <w:szCs w:val="24"/>
          <w:spacing w:val="-1"/>
        </w:rPr>
        <w:t>节能、降耗、减污、增效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2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，</w:t>
      </w:r>
      <w:r>
        <w:rPr>
          <w:rFonts w:ascii="SimSun" w:hAnsi="SimSun" w:eastAsia="SimSun" w:cs="SimSun"/>
          <w:sz w:val="24"/>
          <w:szCs w:val="24"/>
          <w:spacing w:val="-2"/>
        </w:rPr>
        <w:t>做好环保工作。</w:t>
      </w:r>
    </w:p>
    <w:p>
      <w:pPr>
        <w:ind w:left="179" w:right="170" w:firstLine="519"/>
        <w:spacing w:before="202" w:line="299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5"/>
        </w:rPr>
        <w:t>自节能工作开展以来，公司采用先进的设备和技术，精心进行工艺布置，有</w:t>
      </w:r>
      <w:r>
        <w:rPr>
          <w:rFonts w:ascii="SimSun" w:hAnsi="SimSun" w:eastAsia="SimSun" w:cs="SimSun"/>
          <w:sz w:val="24"/>
          <w:szCs w:val="24"/>
          <w:spacing w:val="13"/>
        </w:rPr>
        <w:t>效提高设备使用率。产品制造过程主要涉及的工艺主要有组装、粗加工、精加</w:t>
      </w:r>
      <w:r>
        <w:rPr>
          <w:rFonts w:ascii="SimSun" w:hAnsi="SimSun" w:eastAsia="SimSun" w:cs="SimSun"/>
          <w:sz w:val="24"/>
          <w:szCs w:val="24"/>
          <w:spacing w:val="6"/>
        </w:rPr>
        <w:t>工，产生的环境因素主要产生的噪声、固废等；噪声治理：选用低噪设备</w:t>
      </w:r>
      <w:r>
        <w:rPr>
          <w:rFonts w:ascii="SimSun" w:hAnsi="SimSun" w:eastAsia="SimSun" w:cs="SimSun"/>
          <w:sz w:val="24"/>
          <w:szCs w:val="24"/>
          <w:spacing w:val="5"/>
        </w:rPr>
        <w:t>并合理</w:t>
      </w:r>
      <w:r>
        <w:rPr>
          <w:rFonts w:ascii="SimSun" w:hAnsi="SimSun" w:eastAsia="SimSun" w:cs="SimSun"/>
          <w:sz w:val="24"/>
          <w:szCs w:val="24"/>
          <w:spacing w:val="6"/>
        </w:rPr>
        <w:t>布置产噪设备，产噪设备及产噪车间采取消声、隔音、减振等措施，厂界</w:t>
      </w:r>
      <w:r>
        <w:rPr>
          <w:rFonts w:ascii="SimSun" w:hAnsi="SimSun" w:eastAsia="SimSun" w:cs="SimSun"/>
          <w:sz w:val="24"/>
          <w:szCs w:val="24"/>
          <w:spacing w:val="5"/>
        </w:rPr>
        <w:t>噪声执</w:t>
      </w:r>
      <w:r>
        <w:rPr>
          <w:rFonts w:ascii="SimSun" w:hAnsi="SimSun" w:eastAsia="SimSun" w:cs="SimSun"/>
          <w:sz w:val="24"/>
          <w:szCs w:val="24"/>
          <w:spacing w:val="-1"/>
        </w:rPr>
        <w:t>行《工业企业厂界环境噪声排放标准》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(GB12348-2008)3 </w:t>
      </w:r>
      <w:r>
        <w:rPr>
          <w:rFonts w:ascii="SimSun" w:hAnsi="SimSun" w:eastAsia="SimSun" w:cs="SimSun"/>
          <w:sz w:val="24"/>
          <w:szCs w:val="24"/>
          <w:spacing w:val="-1"/>
        </w:rPr>
        <w:t>类标准。</w:t>
      </w:r>
    </w:p>
    <w:p>
      <w:pPr>
        <w:ind w:left="178" w:right="170" w:firstLine="480"/>
        <w:spacing w:before="103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在安全生产方面，公司一贯遵循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</w:t>
      </w:r>
      <w:r>
        <w:rPr>
          <w:rFonts w:ascii="SimSun" w:hAnsi="SimSun" w:eastAsia="SimSun" w:cs="SimSun"/>
          <w:sz w:val="24"/>
          <w:szCs w:val="24"/>
          <w:spacing w:val="-1"/>
        </w:rPr>
        <w:t>安全第一，预防为主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3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的工作方针，为避免安</w:t>
      </w:r>
      <w:r>
        <w:rPr>
          <w:rFonts w:ascii="SimSun" w:hAnsi="SimSun" w:eastAsia="SimSun" w:cs="SimSun"/>
          <w:sz w:val="24"/>
          <w:szCs w:val="24"/>
          <w:spacing w:val="6"/>
        </w:rPr>
        <w:t>全事故的发生和确保员工的人身安全，公司通过制订、完善资产保全、防火</w:t>
      </w:r>
      <w:r>
        <w:rPr>
          <w:rFonts w:ascii="SimSun" w:hAnsi="SimSun" w:eastAsia="SimSun" w:cs="SimSun"/>
          <w:sz w:val="24"/>
          <w:szCs w:val="24"/>
          <w:spacing w:val="5"/>
        </w:rPr>
        <w:t>防盗</w:t>
      </w:r>
      <w:r>
        <w:rPr>
          <w:rFonts w:ascii="SimSun" w:hAnsi="SimSun" w:eastAsia="SimSun" w:cs="SimSun"/>
          <w:sz w:val="24"/>
          <w:szCs w:val="24"/>
          <w:spacing w:val="6"/>
        </w:rPr>
        <w:t>管理制度，确保企业财产安全。同时，从培养员工安全意识、开展三级安全</w:t>
      </w:r>
      <w:r>
        <w:rPr>
          <w:rFonts w:ascii="SimSun" w:hAnsi="SimSun" w:eastAsia="SimSun" w:cs="SimSun"/>
          <w:sz w:val="24"/>
          <w:szCs w:val="24"/>
          <w:spacing w:val="5"/>
        </w:rPr>
        <w:t>教育</w:t>
      </w:r>
      <w:r>
        <w:rPr>
          <w:rFonts w:ascii="SimSun" w:hAnsi="SimSun" w:eastAsia="SimSun" w:cs="SimSun"/>
          <w:sz w:val="24"/>
          <w:szCs w:val="24"/>
          <w:spacing w:val="6"/>
        </w:rPr>
        <w:t>入手，针对不同岗位的安全特点，采取岗位安全培训、配备劳动保护用品、</w:t>
      </w:r>
      <w:r>
        <w:rPr>
          <w:rFonts w:ascii="SimSun" w:hAnsi="SimSun" w:eastAsia="SimSun" w:cs="SimSun"/>
          <w:sz w:val="24"/>
          <w:szCs w:val="24"/>
          <w:spacing w:val="5"/>
        </w:rPr>
        <w:t>为全</w:t>
      </w:r>
      <w:r>
        <w:rPr>
          <w:rFonts w:ascii="SimSun" w:hAnsi="SimSun" w:eastAsia="SimSun" w:cs="SimSun"/>
          <w:sz w:val="24"/>
          <w:szCs w:val="24"/>
          <w:spacing w:val="6"/>
        </w:rPr>
        <w:t>体员工缴纳养老和工伤保险等安全防范措施，确保所有员工掌握岗位需求的</w:t>
      </w:r>
      <w:r>
        <w:rPr>
          <w:rFonts w:ascii="SimSun" w:hAnsi="SimSun" w:eastAsia="SimSun" w:cs="SimSun"/>
          <w:sz w:val="24"/>
          <w:szCs w:val="24"/>
          <w:spacing w:val="5"/>
        </w:rPr>
        <w:t>安全</w:t>
      </w:r>
      <w:r>
        <w:rPr>
          <w:rFonts w:ascii="SimSun" w:hAnsi="SimSun" w:eastAsia="SimSun" w:cs="SimSun"/>
          <w:sz w:val="24"/>
          <w:szCs w:val="24"/>
          <w:spacing w:val="12"/>
        </w:rPr>
        <w:t>知识和技能，</w:t>
      </w:r>
      <w:r>
        <w:rPr>
          <w:rFonts w:ascii="SimSun" w:hAnsi="SimSun" w:eastAsia="SimSun" w:cs="SimSun"/>
          <w:sz w:val="24"/>
          <w:szCs w:val="24"/>
          <w:spacing w:val="-6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2"/>
        </w:rPr>
        <w:t>以保证职工的人身安全。公司每年组织</w:t>
      </w:r>
      <w:r>
        <w:rPr>
          <w:rFonts w:ascii="SimSun" w:hAnsi="SimSun" w:eastAsia="SimSun" w:cs="SimSun"/>
          <w:sz w:val="24"/>
          <w:szCs w:val="24"/>
          <w:spacing w:val="11"/>
        </w:rPr>
        <w:t>全体员工进行一次免费体</w:t>
      </w:r>
      <w:r>
        <w:rPr>
          <w:rFonts w:ascii="SimSun" w:hAnsi="SimSun" w:eastAsia="SimSun" w:cs="SimSun"/>
          <w:sz w:val="24"/>
          <w:szCs w:val="24"/>
          <w:spacing w:val="6"/>
        </w:rPr>
        <w:t>检，特殊工种员工、已婚妇女每年进行一次免费体检。体检中如发现的疾病</w:t>
      </w:r>
      <w:r>
        <w:rPr>
          <w:rFonts w:ascii="SimSun" w:hAnsi="SimSun" w:eastAsia="SimSun" w:cs="SimSun"/>
          <w:sz w:val="24"/>
          <w:szCs w:val="24"/>
          <w:spacing w:val="5"/>
        </w:rPr>
        <w:t>，予</w:t>
      </w:r>
      <w:r>
        <w:rPr>
          <w:rFonts w:ascii="SimSun" w:hAnsi="SimSun" w:eastAsia="SimSun" w:cs="SimSun"/>
          <w:sz w:val="24"/>
          <w:szCs w:val="24"/>
          <w:spacing w:val="-1"/>
        </w:rPr>
        <w:t>以提醒、安排就医。</w:t>
      </w:r>
    </w:p>
    <w:p>
      <w:pPr>
        <w:ind w:left="180" w:right="170" w:firstLine="479"/>
        <w:spacing w:before="93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特别要指出的是，我们通过一套体制激发员工自发地参与到公司安全管理体</w:t>
      </w:r>
      <w:r>
        <w:rPr>
          <w:rFonts w:ascii="SimSun" w:hAnsi="SimSun" w:eastAsia="SimSun" w:cs="SimSun"/>
          <w:sz w:val="24"/>
          <w:szCs w:val="24"/>
          <w:spacing w:val="2"/>
        </w:rPr>
        <w:t>系建设中来，比如我们确立的义务消防员制度以及公</w:t>
      </w:r>
      <w:r>
        <w:rPr>
          <w:rFonts w:ascii="SimSun" w:hAnsi="SimSun" w:eastAsia="SimSun" w:cs="SimSun"/>
          <w:sz w:val="24"/>
          <w:szCs w:val="24"/>
          <w:spacing w:val="1"/>
        </w:rPr>
        <w:t>司广泛开展的</w:t>
      </w:r>
      <w:r>
        <w:rPr>
          <w:rFonts w:ascii="SimSun" w:hAnsi="SimSun" w:eastAsia="SimSun" w:cs="SimSun"/>
          <w:sz w:val="24"/>
          <w:szCs w:val="24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6S </w:t>
      </w:r>
      <w:r>
        <w:rPr>
          <w:rFonts w:ascii="SimSun" w:hAnsi="SimSun" w:eastAsia="SimSun" w:cs="SimSun"/>
          <w:sz w:val="24"/>
          <w:szCs w:val="24"/>
          <w:spacing w:val="1"/>
        </w:rPr>
        <w:t>运动，通过</w:t>
      </w:r>
      <w:r>
        <w:rPr>
          <w:rFonts w:ascii="SimSun" w:hAnsi="SimSun" w:eastAsia="SimSun" w:cs="SimSun"/>
          <w:sz w:val="24"/>
          <w:szCs w:val="24"/>
          <w:spacing w:val="-1"/>
        </w:rPr>
        <w:t>这些员工自身深入参与的活动，来创造更深入人心的安全文化。</w:t>
      </w:r>
    </w:p>
    <w:p>
      <w:pPr>
        <w:ind w:left="179" w:right="170" w:firstLine="481"/>
        <w:spacing w:before="92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成长和发展对员工来说是至关重要的。公司重视人才引进、培养，为员工提</w:t>
      </w:r>
      <w:r>
        <w:rPr>
          <w:rFonts w:ascii="SimSun" w:hAnsi="SimSun" w:eastAsia="SimSun" w:cs="SimSun"/>
          <w:sz w:val="24"/>
          <w:szCs w:val="24"/>
          <w:spacing w:val="4"/>
        </w:rPr>
        <w:t>供职业生涯规划，组织各类企业培训，以提升员工素质，</w:t>
      </w:r>
      <w:r>
        <w:rPr>
          <w:rFonts w:ascii="Times New Roman" w:hAnsi="Times New Roman" w:eastAsia="Times New Roman" w:cs="Times New Roman"/>
          <w:sz w:val="24"/>
          <w:szCs w:val="24"/>
          <w:spacing w:val="4"/>
        </w:rPr>
        <w:t>2025 </w:t>
      </w:r>
      <w:r>
        <w:rPr>
          <w:rFonts w:ascii="SimSun" w:hAnsi="SimSun" w:eastAsia="SimSun" w:cs="SimSun"/>
          <w:sz w:val="24"/>
          <w:szCs w:val="24"/>
          <w:spacing w:val="4"/>
        </w:rPr>
        <w:t>年底，公</w:t>
      </w:r>
      <w:r>
        <w:rPr>
          <w:rFonts w:ascii="SimSun" w:hAnsi="SimSun" w:eastAsia="SimSun" w:cs="SimSun"/>
          <w:sz w:val="24"/>
          <w:szCs w:val="24"/>
          <w:spacing w:val="3"/>
        </w:rPr>
        <w:t>司共投入</w:t>
      </w:r>
      <w:r>
        <w:rPr>
          <w:rFonts w:ascii="SimSun" w:hAnsi="SimSun" w:eastAsia="SimSun" w:cs="SimSun"/>
          <w:sz w:val="24"/>
          <w:szCs w:val="24"/>
          <w:spacing w:val="1"/>
        </w:rPr>
        <w:t>培训经费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15 </w:t>
      </w:r>
      <w:r>
        <w:rPr>
          <w:rFonts w:ascii="SimSun" w:hAnsi="SimSun" w:eastAsia="SimSun" w:cs="SimSun"/>
          <w:sz w:val="24"/>
          <w:szCs w:val="24"/>
          <w:spacing w:val="1"/>
        </w:rPr>
        <w:t>万元，培计划完成率</w:t>
      </w:r>
      <w:r>
        <w:rPr>
          <w:rFonts w:ascii="SimSun" w:hAnsi="SimSun" w:eastAsia="SimSun" w:cs="SimSun"/>
          <w:sz w:val="24"/>
          <w:szCs w:val="24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100%</w:t>
      </w:r>
      <w:r>
        <w:rPr>
          <w:rFonts w:ascii="Times New Roman" w:hAnsi="Times New Roman" w:eastAsia="Times New Roman" w:cs="Times New Roman"/>
          <w:sz w:val="24"/>
          <w:szCs w:val="24"/>
          <w:spacing w:val="-2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，人均培训课时达</w:t>
      </w:r>
      <w:r>
        <w:rPr>
          <w:rFonts w:ascii="SimSun" w:hAnsi="SimSun" w:eastAsia="SimSun" w:cs="SimSun"/>
          <w:sz w:val="24"/>
          <w:szCs w:val="24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10 </w:t>
      </w:r>
      <w:r>
        <w:rPr>
          <w:rFonts w:ascii="SimSun" w:hAnsi="SimSun" w:eastAsia="SimSun" w:cs="SimSun"/>
          <w:sz w:val="24"/>
          <w:szCs w:val="24"/>
          <w:spacing w:val="1"/>
        </w:rPr>
        <w:t>小时。本着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42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t>人岗匹</w:t>
      </w:r>
      <w:r>
        <w:rPr>
          <w:rFonts w:ascii="SimSun" w:hAnsi="SimSun" w:eastAsia="SimSun" w:cs="SimSun"/>
          <w:sz w:val="24"/>
          <w:szCs w:val="24"/>
          <w:spacing w:val="2"/>
        </w:rPr>
        <w:t>配，人尽其才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30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的基本原则，形成了管理和专业两种职业发展通道，给予</w:t>
      </w:r>
      <w:r>
        <w:rPr>
          <w:rFonts w:ascii="SimSun" w:hAnsi="SimSun" w:eastAsia="SimSun" w:cs="SimSun"/>
          <w:sz w:val="24"/>
          <w:szCs w:val="24"/>
          <w:spacing w:val="1"/>
        </w:rPr>
        <w:t>员工职业</w:t>
      </w:r>
      <w:r>
        <w:rPr>
          <w:rFonts w:ascii="SimSun" w:hAnsi="SimSun" w:eastAsia="SimSun" w:cs="SimSun"/>
          <w:sz w:val="24"/>
          <w:szCs w:val="24"/>
          <w:spacing w:val="6"/>
        </w:rPr>
        <w:t>发展方向的选择权，保证公司人力资源优化配置为员工创造良好的晋升渠</w:t>
      </w:r>
      <w:r>
        <w:rPr>
          <w:rFonts w:ascii="SimSun" w:hAnsi="SimSun" w:eastAsia="SimSun" w:cs="SimSun"/>
          <w:sz w:val="24"/>
          <w:szCs w:val="24"/>
          <w:spacing w:val="5"/>
        </w:rPr>
        <w:t>道，实</w:t>
      </w:r>
      <w:r>
        <w:rPr>
          <w:rFonts w:ascii="SimSun" w:hAnsi="SimSun" w:eastAsia="SimSun" w:cs="SimSun"/>
          <w:sz w:val="24"/>
          <w:szCs w:val="24"/>
          <w:spacing w:val="-1"/>
        </w:rPr>
        <w:t>现员工与企业的共同成长。</w:t>
      </w:r>
    </w:p>
    <w:p>
      <w:pPr>
        <w:spacing w:line="300" w:lineRule="auto"/>
        <w:sectPr>
          <w:pgSz w:w="11906" w:h="16840"/>
          <w:pgMar w:top="997" w:right="1473" w:bottom="908" w:left="1473" w:header="568" w:footer="757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201"/>
        <w:spacing w:before="100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四、关注员工的文化建设和健康</w:t>
      </w:r>
    </w:p>
    <w:p>
      <w:pPr>
        <w:ind w:left="180" w:right="170" w:firstLine="486"/>
        <w:spacing w:before="227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公司除了生产上的安全关注，公司也十分重视员工的文化建设和健康。这主</w:t>
      </w:r>
      <w:r>
        <w:rPr>
          <w:rFonts w:ascii="SimSun" w:hAnsi="SimSun" w:eastAsia="SimSun" w:cs="SimSun"/>
          <w:sz w:val="24"/>
          <w:szCs w:val="24"/>
          <w:spacing w:val="6"/>
        </w:rPr>
        <w:t>要体现在我们努力为员工创造舒适的工作环境和生活环境，如综合部和</w:t>
      </w:r>
      <w:r>
        <w:rPr>
          <w:rFonts w:ascii="SimSun" w:hAnsi="SimSun" w:eastAsia="SimSun" w:cs="SimSun"/>
          <w:sz w:val="24"/>
          <w:szCs w:val="24"/>
          <w:spacing w:val="5"/>
        </w:rPr>
        <w:t>车间、食</w:t>
      </w:r>
      <w:r>
        <w:rPr>
          <w:rFonts w:ascii="SimSun" w:hAnsi="SimSun" w:eastAsia="SimSun" w:cs="SimSun"/>
          <w:sz w:val="24"/>
          <w:szCs w:val="24"/>
          <w:spacing w:val="6"/>
        </w:rPr>
        <w:t>堂和宿舍、运动和休闲、阅读及娱乐等等。除了硬件保障之外，我们还</w:t>
      </w:r>
      <w:r>
        <w:rPr>
          <w:rFonts w:ascii="SimSun" w:hAnsi="SimSun" w:eastAsia="SimSun" w:cs="SimSun"/>
          <w:sz w:val="24"/>
          <w:szCs w:val="24"/>
          <w:spacing w:val="5"/>
        </w:rPr>
        <w:t>通过诸如</w:t>
      </w:r>
      <w:r>
        <w:rPr>
          <w:rFonts w:ascii="SimSun" w:hAnsi="SimSun" w:eastAsia="SimSun" w:cs="SimSun"/>
          <w:sz w:val="24"/>
          <w:szCs w:val="24"/>
          <w:spacing w:val="6"/>
        </w:rPr>
        <w:t>劳动技能竞赛、员工聚餐和文娱活动等员工活动来调动员工的工作激情</w:t>
      </w:r>
      <w:r>
        <w:rPr>
          <w:rFonts w:ascii="SimSun" w:hAnsi="SimSun" w:eastAsia="SimSun" w:cs="SimSun"/>
          <w:sz w:val="24"/>
          <w:szCs w:val="24"/>
          <w:spacing w:val="5"/>
        </w:rPr>
        <w:t>，丰富员</w:t>
      </w:r>
      <w:r>
        <w:rPr>
          <w:rFonts w:ascii="SimSun" w:hAnsi="SimSun" w:eastAsia="SimSun" w:cs="SimSun"/>
          <w:sz w:val="24"/>
          <w:szCs w:val="24"/>
          <w:spacing w:val="-1"/>
        </w:rPr>
        <w:t>工的业余生活，获得了员工的广泛好评。</w:t>
      </w:r>
    </w:p>
    <w:p>
      <w:pPr>
        <w:ind w:left="179" w:right="170" w:firstLine="483"/>
        <w:spacing w:before="90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关注员工身心健康，组织员工座谈、文艺晚会等丰富业余生活，创建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3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员工互</w:t>
      </w:r>
      <w:r>
        <w:rPr>
          <w:rFonts w:ascii="SimSun" w:hAnsi="SimSun" w:eastAsia="SimSun" w:cs="SimSun"/>
          <w:sz w:val="24"/>
          <w:szCs w:val="24"/>
          <w:spacing w:val="1"/>
        </w:rPr>
        <w:t>助基金会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19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，帮助员工解决家庭困难，营造了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43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一人有难人人帮助</w:t>
      </w:r>
      <w:r>
        <w:rPr>
          <w:rFonts w:ascii="Times New Roman" w:hAnsi="Times New Roman" w:eastAsia="Times New Roman" w:cs="Times New Roman"/>
          <w:sz w:val="24"/>
          <w:szCs w:val="24"/>
          <w:spacing w:val="1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2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1"/>
        </w:rPr>
        <w:t>的良好氛围。并</w:t>
      </w:r>
      <w:r>
        <w:rPr>
          <w:rFonts w:ascii="SimSun" w:hAnsi="SimSun" w:eastAsia="SimSun" w:cs="SimSun"/>
          <w:sz w:val="24"/>
          <w:szCs w:val="24"/>
          <w:spacing w:val="2"/>
        </w:rPr>
        <w:t>针对外地员工实施了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SimSun" w:hAnsi="SimSun" w:eastAsia="SimSun" w:cs="SimSun"/>
          <w:sz w:val="24"/>
          <w:szCs w:val="24"/>
          <w:spacing w:val="2"/>
        </w:rPr>
        <w:t>三安工程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2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，即让外地员工在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4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安下身来、安下心来、安下家</w:t>
      </w:r>
      <w:r>
        <w:rPr>
          <w:rFonts w:ascii="SimSun" w:hAnsi="SimSun" w:eastAsia="SimSun" w:cs="SimSun"/>
          <w:sz w:val="24"/>
          <w:szCs w:val="24"/>
          <w:spacing w:val="-4"/>
        </w:rPr>
        <w:t>来</w:t>
      </w:r>
      <w:r>
        <w:rPr>
          <w:rFonts w:ascii="Times New Roman" w:hAnsi="Times New Roman" w:eastAsia="Times New Roman" w:cs="Times New Roman"/>
          <w:sz w:val="24"/>
          <w:szCs w:val="24"/>
          <w:spacing w:val="-4"/>
        </w:rPr>
        <w:t>”</w:t>
      </w:r>
      <w:r>
        <w:rPr>
          <w:rFonts w:ascii="SimSun" w:hAnsi="SimSun" w:eastAsia="SimSun" w:cs="SimSun"/>
          <w:sz w:val="24"/>
          <w:szCs w:val="24"/>
          <w:spacing w:val="-4"/>
        </w:rPr>
        <w:t>。</w:t>
      </w:r>
    </w:p>
    <w:p>
      <w:pPr>
        <w:ind w:left="187" w:right="170" w:firstLine="480"/>
        <w:spacing w:before="91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公司坚持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21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以人为本</w:t>
      </w:r>
      <w:r>
        <w:rPr>
          <w:rFonts w:ascii="Times New Roman" w:hAnsi="Times New Roman" w:eastAsia="Times New Roman" w:cs="Times New Roman"/>
          <w:sz w:val="24"/>
          <w:szCs w:val="24"/>
          <w:spacing w:val="-2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32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2"/>
        </w:rPr>
        <w:t>，定期召开员工代表座谈会，</w:t>
      </w:r>
      <w:r>
        <w:rPr>
          <w:rFonts w:ascii="SimSun" w:hAnsi="SimSun" w:eastAsia="SimSun" w:cs="SimSun"/>
          <w:sz w:val="24"/>
          <w:szCs w:val="24"/>
          <w:spacing w:val="-3"/>
        </w:rPr>
        <w:t>及时解决员工关心问题；保</w:t>
      </w:r>
      <w:r>
        <w:rPr>
          <w:rFonts w:ascii="SimSun" w:hAnsi="SimSun" w:eastAsia="SimSun" w:cs="SimSun"/>
          <w:sz w:val="24"/>
          <w:szCs w:val="24"/>
          <w:spacing w:val="6"/>
        </w:rPr>
        <w:t>障员工薪酬增长，持续为员工改善伙食；逐步降低一线员</w:t>
      </w:r>
      <w:r>
        <w:rPr>
          <w:rFonts w:ascii="SimSun" w:hAnsi="SimSun" w:eastAsia="SimSun" w:cs="SimSun"/>
          <w:sz w:val="24"/>
          <w:szCs w:val="24"/>
          <w:spacing w:val="5"/>
        </w:rPr>
        <w:t>工劳动强度，员工奖惩</w:t>
      </w:r>
      <w:r>
        <w:rPr>
          <w:rFonts w:ascii="SimSun" w:hAnsi="SimSun" w:eastAsia="SimSun" w:cs="SimSun"/>
          <w:sz w:val="24"/>
          <w:szCs w:val="24"/>
          <w:spacing w:val="6"/>
        </w:rPr>
        <w:t>公开透明，遏制不公；对困难员工给予温暖和人性关怀，</w:t>
      </w:r>
      <w:r>
        <w:rPr>
          <w:rFonts w:ascii="SimSun" w:hAnsi="SimSun" w:eastAsia="SimSun" w:cs="SimSun"/>
          <w:sz w:val="24"/>
          <w:szCs w:val="24"/>
          <w:spacing w:val="5"/>
        </w:rPr>
        <w:t>如发放困难补助，增强</w:t>
      </w:r>
      <w:r>
        <w:rPr>
          <w:rFonts w:ascii="SimSun" w:hAnsi="SimSun" w:eastAsia="SimSun" w:cs="SimSun"/>
          <w:sz w:val="24"/>
          <w:szCs w:val="24"/>
          <w:spacing w:val="-2"/>
        </w:rPr>
        <w:t>员工对公司认同感和归宿感。</w:t>
      </w:r>
    </w:p>
    <w:p>
      <w:pPr>
        <w:ind w:left="191"/>
        <w:spacing w:before="327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五、回报社会，参与公益事业</w:t>
      </w:r>
    </w:p>
    <w:p>
      <w:pPr>
        <w:ind w:left="182" w:right="170" w:firstLine="484"/>
        <w:spacing w:before="239" w:line="300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2"/>
        </w:rPr>
        <w:t>公司在发展的同时不忘回馈社会，逐步建设形成了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37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公司为主、党委牵头、全</w:t>
      </w:r>
      <w:r>
        <w:rPr>
          <w:rFonts w:ascii="SimSun" w:hAnsi="SimSun" w:eastAsia="SimSun" w:cs="SimSun"/>
          <w:sz w:val="24"/>
          <w:szCs w:val="24"/>
          <w:spacing w:val="2"/>
        </w:rPr>
        <w:t>员参与、注重实效</w:t>
      </w:r>
      <w:r>
        <w:rPr>
          <w:rFonts w:ascii="Times New Roman" w:hAnsi="Times New Roman" w:eastAsia="Times New Roman" w:cs="Times New Roman"/>
          <w:sz w:val="24"/>
          <w:szCs w:val="24"/>
          <w:spacing w:val="2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spacing w:val="-26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2"/>
        </w:rPr>
        <w:t>的百瑞公益慈善体系，多年来开展了多</w:t>
      </w:r>
      <w:r>
        <w:rPr>
          <w:rFonts w:ascii="SimSun" w:hAnsi="SimSun" w:eastAsia="SimSun" w:cs="SimSun"/>
          <w:sz w:val="24"/>
          <w:szCs w:val="24"/>
          <w:spacing w:val="1"/>
        </w:rPr>
        <w:t>种形式的公益活动。积</w:t>
      </w:r>
      <w:r>
        <w:rPr>
          <w:rFonts w:ascii="SimSun" w:hAnsi="SimSun" w:eastAsia="SimSun" w:cs="SimSun"/>
          <w:sz w:val="24"/>
          <w:szCs w:val="24"/>
          <w:spacing w:val="-1"/>
        </w:rPr>
        <w:t>极参与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spacing w:val="-3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1"/>
        </w:rPr>
        <w:t>慈善捐助、发展教育事业、推进环保事业、支持新农村建设</w:t>
      </w:r>
      <w:r>
        <w:rPr>
          <w:rFonts w:ascii="Times New Roman" w:hAnsi="Times New Roman" w:eastAsia="Times New Roman" w:cs="Times New Roman"/>
          <w:sz w:val="24"/>
          <w:szCs w:val="24"/>
          <w:spacing w:val="-1"/>
        </w:rPr>
        <w:t>”</w:t>
      </w:r>
      <w:r>
        <w:rPr>
          <w:rFonts w:ascii="SimSun" w:hAnsi="SimSun" w:eastAsia="SimSun" w:cs="SimSun"/>
          <w:sz w:val="24"/>
          <w:szCs w:val="24"/>
          <w:spacing w:val="-1"/>
        </w:rPr>
        <w:t>等四个领域确</w:t>
      </w:r>
      <w:r>
        <w:rPr>
          <w:rFonts w:ascii="SimSun" w:hAnsi="SimSun" w:eastAsia="SimSun" w:cs="SimSun"/>
          <w:sz w:val="24"/>
          <w:szCs w:val="24"/>
          <w:spacing w:val="6"/>
        </w:rPr>
        <w:t>定为公益事业支持重点。百瑞因慈善方面的卓越表现，获得政府和</w:t>
      </w:r>
      <w:r>
        <w:rPr>
          <w:rFonts w:ascii="SimSun" w:hAnsi="SimSun" w:eastAsia="SimSun" w:cs="SimSun"/>
          <w:sz w:val="24"/>
          <w:szCs w:val="24"/>
          <w:spacing w:val="5"/>
        </w:rPr>
        <w:t>社会的高度肯</w:t>
      </w:r>
      <w:r>
        <w:rPr>
          <w:rFonts w:ascii="SimSun" w:hAnsi="SimSun" w:eastAsia="SimSun" w:cs="SimSun"/>
          <w:sz w:val="24"/>
          <w:szCs w:val="24"/>
          <w:spacing w:val="-7"/>
        </w:rPr>
        <w:t>定。</w:t>
      </w:r>
    </w:p>
    <w:p>
      <w:pPr>
        <w:spacing w:line="60" w:lineRule="exact"/>
        <w:rPr/>
      </w:pPr>
      <w:r/>
    </w:p>
    <w:tbl>
      <w:tblPr>
        <w:tblStyle w:val="TableNormal"/>
        <w:tblW w:w="8838" w:type="dxa"/>
        <w:tblInd w:w="6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61"/>
        <w:gridCol w:w="3928"/>
        <w:gridCol w:w="2949"/>
      </w:tblGrid>
      <w:tr>
        <w:trPr>
          <w:trHeight w:val="475" w:hRule="atLeast"/>
        </w:trPr>
        <w:tc>
          <w:tcPr>
            <w:tcW w:w="1961" w:type="dxa"/>
            <w:vAlign w:val="top"/>
          </w:tcPr>
          <w:p>
            <w:pPr>
              <w:pStyle w:val="TableText"/>
              <w:ind w:left="759"/>
              <w:spacing w:before="3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11"/>
              </w:rPr>
              <w:t>时间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ind w:left="1736"/>
              <w:spacing w:before="39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7"/>
              </w:rPr>
              <w:t>项目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000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捐款金额</w:t>
            </w:r>
          </w:p>
        </w:tc>
      </w:tr>
      <w:tr>
        <w:trPr>
          <w:trHeight w:val="470" w:hRule="atLeast"/>
        </w:trPr>
        <w:tc>
          <w:tcPr>
            <w:tcW w:w="1961" w:type="dxa"/>
            <w:vAlign w:val="top"/>
          </w:tcPr>
          <w:p>
            <w:pPr>
              <w:pStyle w:val="TableText"/>
              <w:ind w:left="631"/>
              <w:spacing w:before="37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2023年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ind w:left="1500"/>
              <w:spacing w:before="36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慈善总会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183"/>
              <w:spacing w:before="36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20000</w:t>
            </w:r>
          </w:p>
        </w:tc>
      </w:tr>
      <w:tr>
        <w:trPr>
          <w:trHeight w:val="471" w:hRule="atLeast"/>
        </w:trPr>
        <w:tc>
          <w:tcPr>
            <w:tcW w:w="1961" w:type="dxa"/>
            <w:vAlign w:val="top"/>
          </w:tcPr>
          <w:p>
            <w:pPr>
              <w:pStyle w:val="TableText"/>
              <w:ind w:left="631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2024年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ind w:left="1500"/>
              <w:spacing w:before="3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慈善总会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183"/>
              <w:spacing w:before="3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20000</w:t>
            </w:r>
          </w:p>
        </w:tc>
      </w:tr>
      <w:tr>
        <w:trPr>
          <w:trHeight w:val="475" w:hRule="atLeast"/>
        </w:trPr>
        <w:tc>
          <w:tcPr>
            <w:tcW w:w="1961" w:type="dxa"/>
            <w:vAlign w:val="top"/>
          </w:tcPr>
          <w:p>
            <w:pPr>
              <w:pStyle w:val="TableText"/>
              <w:ind w:left="631"/>
              <w:spacing w:before="39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3"/>
              </w:rPr>
              <w:t>2025年</w:t>
            </w:r>
          </w:p>
        </w:tc>
        <w:tc>
          <w:tcPr>
            <w:tcW w:w="3928" w:type="dxa"/>
            <w:vAlign w:val="top"/>
          </w:tcPr>
          <w:p>
            <w:pPr>
              <w:pStyle w:val="TableText"/>
              <w:ind w:left="1014"/>
              <w:spacing w:before="3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泽国镇教育基金会</w:t>
            </w:r>
          </w:p>
        </w:tc>
        <w:tc>
          <w:tcPr>
            <w:tcW w:w="2949" w:type="dxa"/>
            <w:vAlign w:val="top"/>
          </w:tcPr>
          <w:p>
            <w:pPr>
              <w:pStyle w:val="TableText"/>
              <w:ind w:left="1180"/>
              <w:spacing w:before="38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2"/>
              </w:rPr>
              <w:t>40000</w:t>
            </w:r>
          </w:p>
        </w:tc>
      </w:tr>
    </w:tbl>
    <w:p>
      <w:pPr>
        <w:pStyle w:val="BodyText"/>
        <w:spacing w:line="266" w:lineRule="auto"/>
        <w:rPr/>
      </w:pPr>
      <w:r/>
    </w:p>
    <w:p>
      <w:pPr>
        <w:ind w:left="192"/>
        <w:spacing w:before="102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六、公司与员工双赢发展</w:t>
      </w:r>
    </w:p>
    <w:p>
      <w:pPr>
        <w:ind w:left="179" w:right="170" w:firstLine="487"/>
        <w:spacing w:before="226" w:line="30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公司注重公司与员工双赢，在公司稳步发展的同时，为员工提供良好的工作</w:t>
      </w:r>
      <w:r>
        <w:rPr>
          <w:rFonts w:ascii="SimSun" w:hAnsi="SimSun" w:eastAsia="SimSun" w:cs="SimSun"/>
          <w:sz w:val="24"/>
          <w:szCs w:val="24"/>
          <w:spacing w:val="-1"/>
        </w:rPr>
        <w:t>环境、适宜的生活条件以及具有竞争性的薪酬福利。如下表：</w:t>
      </w:r>
    </w:p>
    <w:p>
      <w:pPr>
        <w:ind w:left="4144"/>
        <w:spacing w:before="112" w:line="226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</w:rPr>
        <w:t>员工福利</w:t>
      </w:r>
    </w:p>
    <w:p>
      <w:pPr>
        <w:spacing w:line="226" w:lineRule="auto"/>
        <w:sectPr>
          <w:pgSz w:w="11906" w:h="16840"/>
          <w:pgMar w:top="997" w:right="1473" w:bottom="908" w:left="1473" w:header="568" w:footer="757" w:gutter="0"/>
        </w:sectPr>
        <w:rPr>
          <w:rFonts w:ascii="SimSun" w:hAnsi="SimSun" w:eastAsia="SimSun" w:cs="SimSun"/>
          <w:sz w:val="35"/>
          <w:szCs w:val="35"/>
        </w:rPr>
      </w:pPr>
    </w:p>
    <w:p>
      <w:pPr>
        <w:spacing w:before="82"/>
        <w:rPr/>
      </w:pPr>
      <w:r/>
    </w:p>
    <w:p>
      <w:pPr>
        <w:spacing w:before="81"/>
        <w:rPr/>
      </w:pPr>
      <w:r/>
    </w:p>
    <w:tbl>
      <w:tblPr>
        <w:tblStyle w:val="TableNormal"/>
        <w:tblW w:w="8620" w:type="dxa"/>
        <w:tblInd w:w="16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507"/>
        <w:gridCol w:w="1891"/>
        <w:gridCol w:w="1605"/>
        <w:gridCol w:w="1617"/>
      </w:tblGrid>
      <w:tr>
        <w:trPr>
          <w:trHeight w:val="464" w:hRule="atLeast"/>
        </w:trPr>
        <w:tc>
          <w:tcPr>
            <w:tcW w:w="3507" w:type="dxa"/>
            <w:vAlign w:val="top"/>
          </w:tcPr>
          <w:p>
            <w:pPr>
              <w:spacing w:line="454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2223770" cy="288290"/>
                  <wp:effectExtent l="0" t="0" r="0" b="0"/>
                  <wp:docPr id="60" name="IM 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0" name="IM 60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23770" cy="2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891" w:type="dxa"/>
            <w:vAlign w:val="top"/>
          </w:tcPr>
          <w:p>
            <w:pPr>
              <w:pStyle w:val="TableText"/>
              <w:ind w:left="640"/>
              <w:spacing w:before="100"/>
              <w:rPr/>
            </w:pPr>
            <w:r>
              <w:rPr>
                <w:b/>
                <w:bCs/>
                <w:color w:val="FFFFFF"/>
                <w:spacing w:val="4"/>
              </w:rPr>
              <w:t>2023</w:t>
            </w:r>
            <w:r>
              <w:rPr>
                <w:position w:val="-5"/>
              </w:rPr>
              <w:drawing>
                <wp:inline distT="0" distB="0" distL="0" distR="0">
                  <wp:extent cx="147205" cy="163779"/>
                  <wp:effectExtent l="0" t="0" r="0" b="0"/>
                  <wp:docPr id="62" name="IM 6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2" name="IM 62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205" cy="16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605" w:type="dxa"/>
            <w:vAlign w:val="top"/>
          </w:tcPr>
          <w:p>
            <w:pPr>
              <w:pStyle w:val="TableText"/>
              <w:ind w:left="498"/>
              <w:spacing w:before="100"/>
              <w:rPr/>
            </w:pPr>
            <w:r>
              <w:rPr>
                <w:b/>
                <w:bCs/>
                <w:color w:val="FFFFFF"/>
                <w:spacing w:val="3"/>
              </w:rPr>
              <w:t>2024</w:t>
            </w:r>
            <w:r>
              <w:rPr>
                <w:position w:val="-5"/>
              </w:rPr>
              <w:drawing>
                <wp:inline distT="0" distB="0" distL="0" distR="0">
                  <wp:extent cx="147713" cy="163779"/>
                  <wp:effectExtent l="0" t="0" r="0" b="0"/>
                  <wp:docPr id="64" name="IM 6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4" name="IM 6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7713" cy="16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clear" w:fill="003399"/>
            <w:tcW w:w="1617" w:type="dxa"/>
            <w:vAlign w:val="top"/>
          </w:tcPr>
          <w:p>
            <w:pPr>
              <w:pStyle w:val="TableText"/>
              <w:ind w:left="506"/>
              <w:spacing w:before="100"/>
              <w:rPr/>
            </w:pPr>
            <w:r>
              <w:rPr>
                <w:b/>
                <w:bCs/>
                <w:color w:val="FFFFFF"/>
                <w:spacing w:val="3"/>
              </w:rPr>
              <w:t>2025</w:t>
            </w:r>
            <w:r>
              <w:rPr>
                <w:position w:val="-5"/>
              </w:rPr>
              <w:drawing>
                <wp:inline distT="0" distB="0" distL="0" distR="0">
                  <wp:extent cx="148082" cy="163779"/>
                  <wp:effectExtent l="0" t="0" r="0" b="0"/>
                  <wp:docPr id="66" name="IM 6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6" name="IM 66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48082" cy="163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57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032"/>
              <w:spacing w:before="128" w:line="229" w:lineRule="auto"/>
              <w:rPr/>
            </w:pPr>
            <w:r>
              <w:rPr>
                <w:spacing w:val="13"/>
              </w:rPr>
              <w:t>培训费用(万元)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794"/>
              <w:spacing w:before="128" w:line="255" w:lineRule="exact"/>
              <w:rPr/>
            </w:pPr>
            <w:r>
              <w:rPr>
                <w:spacing w:val="4"/>
                <w:position w:val="1"/>
              </w:rPr>
              <w:t>9.7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626"/>
              <w:spacing w:before="128" w:line="255" w:lineRule="exact"/>
              <w:rPr/>
            </w:pPr>
            <w:r>
              <w:rPr>
                <w:spacing w:val="-2"/>
                <w:position w:val="1"/>
              </w:rPr>
              <w:t>10.4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730"/>
              <w:spacing w:before="128" w:line="256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</w:tr>
      <w:tr>
        <w:trPr>
          <w:trHeight w:val="458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136"/>
              <w:spacing w:before="129" w:line="229" w:lineRule="auto"/>
              <w:rPr/>
            </w:pPr>
            <w:r>
              <w:rPr>
                <w:spacing w:val="14"/>
              </w:rPr>
              <w:t>人均培训时间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796"/>
              <w:spacing w:before="130" w:line="254" w:lineRule="exact"/>
              <w:rPr/>
            </w:pPr>
            <w:r>
              <w:rPr>
                <w:spacing w:val="3"/>
                <w:position w:val="1"/>
              </w:rPr>
              <w:t>8.6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655"/>
              <w:spacing w:before="130" w:line="254" w:lineRule="exact"/>
              <w:rPr/>
            </w:pPr>
            <w:r>
              <w:rPr>
                <w:spacing w:val="3"/>
                <w:position w:val="1"/>
              </w:rPr>
              <w:t>9.4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727"/>
              <w:spacing w:before="130" w:line="255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rPr>
          <w:trHeight w:val="459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039"/>
              <w:spacing w:before="130" w:line="228" w:lineRule="auto"/>
              <w:rPr/>
            </w:pPr>
            <w:r>
              <w:rPr>
                <w:spacing w:val="14"/>
              </w:rPr>
              <w:t>员工培训满意度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693"/>
              <w:spacing w:before="130" w:line="255" w:lineRule="exact"/>
              <w:rPr/>
            </w:pPr>
            <w:r>
              <w:rPr>
                <w:spacing w:val="5"/>
                <w:position w:val="1"/>
              </w:rPr>
              <w:t>98.2%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552"/>
              <w:spacing w:before="130" w:line="255" w:lineRule="exact"/>
              <w:rPr/>
            </w:pPr>
            <w:r>
              <w:rPr>
                <w:spacing w:val="5"/>
                <w:position w:val="1"/>
              </w:rPr>
              <w:t>98.5%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504"/>
              <w:spacing w:before="130" w:line="255" w:lineRule="exact"/>
              <w:rPr/>
            </w:pPr>
            <w:r>
              <w:rPr>
                <w:spacing w:val="6"/>
                <w:position w:val="1"/>
              </w:rPr>
              <w:t>99.32%</w:t>
            </w:r>
          </w:p>
        </w:tc>
      </w:tr>
      <w:tr>
        <w:trPr>
          <w:trHeight w:val="459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823"/>
              <w:spacing w:before="131" w:line="228" w:lineRule="auto"/>
              <w:rPr/>
            </w:pPr>
            <w:r>
              <w:rPr>
                <w:spacing w:val="14"/>
              </w:rPr>
              <w:t>合理化建议数量(条)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849"/>
              <w:spacing w:before="131" w:line="256" w:lineRule="exact"/>
              <w:rPr/>
            </w:pPr>
            <w:r>
              <w:rPr>
                <w:spacing w:val="2"/>
                <w:position w:val="1"/>
              </w:rPr>
              <w:t>90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711"/>
              <w:spacing w:before="131" w:line="256" w:lineRule="exact"/>
              <w:rPr/>
            </w:pPr>
            <w:r>
              <w:rPr>
                <w:position w:val="1"/>
              </w:rPr>
              <w:t>67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684"/>
              <w:spacing w:before="131" w:line="256" w:lineRule="exact"/>
              <w:rPr/>
            </w:pPr>
            <w:r>
              <w:rPr>
                <w:spacing w:val="-5"/>
                <w:position w:val="1"/>
              </w:rPr>
              <w:t>158</w:t>
            </w:r>
          </w:p>
        </w:tc>
      </w:tr>
      <w:tr>
        <w:trPr>
          <w:trHeight w:val="459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134"/>
              <w:spacing w:before="131" w:line="227" w:lineRule="auto"/>
              <w:rPr/>
            </w:pPr>
            <w:r>
              <w:rPr>
                <w:spacing w:val="13"/>
              </w:rPr>
              <w:t>采纳件数(件)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873"/>
              <w:spacing w:before="131" w:line="255" w:lineRule="exact"/>
              <w:rPr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731"/>
              <w:spacing w:before="131" w:line="255" w:lineRule="exact"/>
              <w:rPr/>
            </w:pPr>
            <w:r>
              <w:rPr>
                <w:spacing w:val="-9"/>
                <w:position w:val="1"/>
              </w:rPr>
              <w:t>15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717"/>
              <w:spacing w:before="131" w:line="255" w:lineRule="exact"/>
              <w:rPr/>
            </w:pPr>
            <w:r>
              <w:rPr>
                <w:spacing w:val="-2"/>
                <w:position w:val="1"/>
              </w:rPr>
              <w:t>25</w:t>
            </w:r>
          </w:p>
        </w:tc>
      </w:tr>
      <w:tr>
        <w:trPr>
          <w:trHeight w:val="459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139"/>
              <w:spacing w:before="132" w:line="228" w:lineRule="auto"/>
              <w:rPr/>
            </w:pPr>
            <w:r>
              <w:rPr>
                <w:spacing w:val="12"/>
              </w:rPr>
              <w:t>投保人数(人)</w:t>
            </w:r>
          </w:p>
        </w:tc>
        <w:tc>
          <w:tcPr>
            <w:tcW w:w="1891" w:type="dxa"/>
            <w:vAlign w:val="top"/>
          </w:tcPr>
          <w:p>
            <w:pPr>
              <w:pStyle w:val="TableText"/>
              <w:ind w:left="536"/>
              <w:spacing w:before="132" w:line="229" w:lineRule="auto"/>
              <w:rPr/>
            </w:pPr>
            <w:r>
              <w:rPr>
                <w:spacing w:val="12"/>
              </w:rPr>
              <w:t>所有员工</w:t>
            </w:r>
          </w:p>
        </w:tc>
        <w:tc>
          <w:tcPr>
            <w:tcW w:w="1605" w:type="dxa"/>
            <w:vAlign w:val="top"/>
          </w:tcPr>
          <w:p>
            <w:pPr>
              <w:pStyle w:val="TableText"/>
              <w:ind w:left="393"/>
              <w:spacing w:before="132" w:line="229" w:lineRule="auto"/>
              <w:rPr/>
            </w:pPr>
            <w:r>
              <w:rPr>
                <w:spacing w:val="13"/>
              </w:rPr>
              <w:t>所有员工</w:t>
            </w:r>
          </w:p>
        </w:tc>
        <w:tc>
          <w:tcPr>
            <w:tcW w:w="1617" w:type="dxa"/>
            <w:vAlign w:val="top"/>
          </w:tcPr>
          <w:p>
            <w:pPr>
              <w:pStyle w:val="TableText"/>
              <w:ind w:left="400"/>
              <w:spacing w:before="132" w:line="229" w:lineRule="auto"/>
              <w:rPr/>
            </w:pPr>
            <w:r>
              <w:rPr>
                <w:spacing w:val="12"/>
              </w:rPr>
              <w:t>所有员工</w:t>
            </w:r>
          </w:p>
        </w:tc>
      </w:tr>
      <w:tr>
        <w:trPr>
          <w:trHeight w:val="462" w:hRule="atLeast"/>
        </w:trPr>
        <w:tc>
          <w:tcPr>
            <w:tcW w:w="3507" w:type="dxa"/>
            <w:vAlign w:val="top"/>
          </w:tcPr>
          <w:p>
            <w:pPr>
              <w:pStyle w:val="TableText"/>
              <w:ind w:left="1356"/>
              <w:spacing w:before="134" w:line="228" w:lineRule="auto"/>
              <w:rPr/>
            </w:pPr>
            <w:r>
              <w:rPr>
                <w:spacing w:val="10"/>
              </w:rPr>
              <w:t>员工体检</w:t>
            </w:r>
          </w:p>
        </w:tc>
        <w:tc>
          <w:tcPr>
            <w:tcW w:w="5113" w:type="dxa"/>
            <w:vAlign w:val="top"/>
            <w:gridSpan w:val="3"/>
          </w:tcPr>
          <w:p>
            <w:pPr>
              <w:pStyle w:val="TableText"/>
              <w:ind w:left="157"/>
              <w:spacing w:before="134" w:line="228" w:lineRule="auto"/>
              <w:rPr/>
            </w:pPr>
            <w:r>
              <w:rPr>
                <w:spacing w:val="17"/>
              </w:rPr>
              <w:t>所有员工每二年体检一次，特殊工种每年体检一次。</w:t>
            </w:r>
          </w:p>
        </w:tc>
      </w:tr>
    </w:tbl>
    <w:p>
      <w:pPr>
        <w:ind w:left="178" w:right="170" w:firstLine="488"/>
        <w:spacing w:before="148" w:line="301" w:lineRule="auto"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公司在日常运作过程中，非常注重员工抱怨状况，出现员工抱怨，及时协调</w:t>
      </w:r>
      <w:r>
        <w:rPr>
          <w:rFonts w:ascii="SimSun" w:hAnsi="SimSun" w:eastAsia="SimSun" w:cs="SimSun"/>
          <w:sz w:val="24"/>
          <w:szCs w:val="24"/>
          <w:spacing w:val="6"/>
        </w:rPr>
        <w:t>相关部门了解情况并尽快处理，以消除员工的不满意程度，全身心地投入工</w:t>
      </w:r>
      <w:r>
        <w:rPr>
          <w:rFonts w:ascii="SimSun" w:hAnsi="SimSun" w:eastAsia="SimSun" w:cs="SimSun"/>
          <w:sz w:val="24"/>
          <w:szCs w:val="24"/>
          <w:spacing w:val="5"/>
        </w:rPr>
        <w:t>作过</w:t>
      </w:r>
      <w:r>
        <w:rPr>
          <w:rFonts w:ascii="SimSun" w:hAnsi="SimSun" w:eastAsia="SimSun" w:cs="SimSun"/>
          <w:sz w:val="24"/>
          <w:szCs w:val="24"/>
          <w:spacing w:val="-1"/>
        </w:rPr>
        <w:t>程中，快乐学习，快乐工作，快乐生活。</w:t>
      </w:r>
    </w:p>
    <w:p>
      <w:pPr>
        <w:ind w:left="182" w:right="170" w:firstLine="482"/>
        <w:spacing w:before="94" w:line="30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另外，公司每年做一次全体的员工满意度调查，统计分析后形成报告，针对</w:t>
      </w:r>
      <w:r>
        <w:rPr>
          <w:rFonts w:ascii="SimSun" w:hAnsi="SimSun" w:eastAsia="SimSun" w:cs="SimSun"/>
          <w:sz w:val="24"/>
          <w:szCs w:val="24"/>
          <w:spacing w:val="-1"/>
        </w:rPr>
        <w:t>性做改进。该工作逐年持续，取得了良好的成效，员工满意度逐年提升。</w:t>
      </w:r>
    </w:p>
    <w:p>
      <w:pPr>
        <w:ind w:left="219" w:right="170" w:firstLine="447"/>
        <w:spacing w:before="95" w:line="30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总而言之，社会责任是百瑞的应尽的责任，是回报社会的最好方法，我们将</w:t>
      </w:r>
      <w:r>
        <w:rPr>
          <w:rFonts w:ascii="SimSun" w:hAnsi="SimSun" w:eastAsia="SimSun" w:cs="SimSun"/>
          <w:sz w:val="24"/>
          <w:szCs w:val="24"/>
          <w:spacing w:val="-6"/>
        </w:rPr>
        <w:t>自始至终努力实现。</w:t>
      </w:r>
    </w:p>
    <w:sectPr>
      <w:pgSz w:w="11906" w:h="16840"/>
      <w:pgMar w:top="997" w:right="1473" w:bottom="908" w:left="1473" w:header="568" w:footer="75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5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7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7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07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-7"/>
      </w:rPr>
      <w:t>10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5"/>
      <w:spacing w:before="82" w:line="210" w:lineRule="auto"/>
      <w:rPr/>
    </w:pPr>
    <w:r>
      <w:pict>
        <v:shape id="_x0000_s4" style="position:absolute;margin-left:73.68pt;margin-top:46.32pt;mso-position-vertical-relative:page;mso-position-horizontal-relative:page;width:448pt;height:0.75pt;z-index:251658240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4464024</wp:posOffset>
          </wp:positionH>
          <wp:positionV relativeFrom="paragraph">
            <wp:posOffset>35853</wp:posOffset>
          </wp:positionV>
          <wp:extent cx="1129461" cy="163029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129461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21212"/>
      </w:rPr>
      <w:t>202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5"/>
      <w:spacing w:before="82" w:line="210" w:lineRule="auto"/>
      <w:rPr/>
    </w:pPr>
    <w:r>
      <w:pict>
        <v:shape id="_x0000_s6" style="position:absolute;margin-left:73.68pt;margin-top:46.32pt;mso-position-vertical-relative:page;mso-position-horizontal-relative:page;width:448pt;height:0.75pt;z-index:251660288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4464024</wp:posOffset>
          </wp:positionH>
          <wp:positionV relativeFrom="paragraph">
            <wp:posOffset>35853</wp:posOffset>
          </wp:positionV>
          <wp:extent cx="1129461" cy="163029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129461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21212"/>
      </w:rPr>
      <w:t>202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5"/>
      <w:spacing w:before="82" w:line="210" w:lineRule="auto"/>
      <w:rPr/>
    </w:pPr>
    <w:r>
      <w:pict>
        <v:shape id="_x0000_s8" style="position:absolute;margin-left:73.68pt;margin-top:46.32pt;mso-position-vertical-relative:page;mso-position-horizontal-relative:page;width:448pt;height:0.75pt;z-index:251662336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4464024</wp:posOffset>
          </wp:positionH>
          <wp:positionV relativeFrom="paragraph">
            <wp:posOffset>35853</wp:posOffset>
          </wp:positionV>
          <wp:extent cx="1129461" cy="163029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129461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21212"/>
      </w:rPr>
      <w:t>202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715"/>
      <w:spacing w:before="82" w:line="210" w:lineRule="auto"/>
      <w:rPr/>
    </w:pPr>
    <w:r>
      <w:pict>
        <v:shape id="_x0000_s10" style="position:absolute;margin-left:73.68pt;margin-top:46.32pt;mso-position-vertical-relative:page;mso-position-horizontal-relative:page;width:448pt;height:0.75pt;z-index:251664384;" o:allowincell="f" fillcolor="#000000" filled="true" stroked="false" coordsize="8960,15" coordorigin="0,0" path="m,l8959,0l8959,14l0,14l0,0xe"/>
      </w:pict>
    </w:r>
    <w:r>
      <w:drawing>
        <wp:anchor distT="0" distB="0" distL="0" distR="0" simplePos="0" relativeHeight="251665408" behindDoc="0" locked="0" layoutInCell="1" allowOverlap="1">
          <wp:simplePos x="0" y="0"/>
          <wp:positionH relativeFrom="column">
            <wp:posOffset>4464024</wp:posOffset>
          </wp:positionH>
          <wp:positionV relativeFrom="paragraph">
            <wp:posOffset>35853</wp:posOffset>
          </wp:positionV>
          <wp:extent cx="1129461" cy="163029"/>
          <wp:effectExtent l="0" t="0" r="0" b="0"/>
          <wp:wrapNone/>
          <wp:docPr id="22" name="IM 22"/>
          <wp:cNvGraphicFramePr/>
          <a:graphic>
            <a:graphicData uri="http://schemas.openxmlformats.org/drawingml/2006/picture">
              <pic:pic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129461" cy="163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B0B0B"/>
      </w:rPr>
      <w:t>202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footer" Target="footer2.xml"/><Relationship Id="rId39" Type="http://schemas.openxmlformats.org/officeDocument/2006/relationships/image" Target="media/image35.jpe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2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footer" Target="footer1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footer" Target="footer4.xml"/><Relationship Id="rId14" Type="http://schemas.openxmlformats.org/officeDocument/2006/relationships/header" Target="header4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社会责任报告</dc:title>
  <dc:creator>user</dc:creator>
  <dcterms:created xsi:type="dcterms:W3CDTF">2026-04-24T09:07:16Z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2026-04-24T09:19:02</vt:filetime>
  </property>
</Properties>
</file>